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  <w:lang w:val="en-US" w:eastAsia="zh-CN"/>
        </w:rPr>
        <w:t>财富管理</w:t>
      </w:r>
      <w:r>
        <w:rPr>
          <w:rFonts w:hint="eastAsia" w:ascii="黑体" w:eastAsia="黑体"/>
          <w:b/>
          <w:sz w:val="32"/>
          <w:szCs w:val="32"/>
        </w:rPr>
        <w:t>（公司金融与投资管理）专业</w:t>
      </w:r>
    </w:p>
    <w:p>
      <w:pPr>
        <w:jc w:val="center"/>
        <w:rPr>
          <w:rFonts w:hint="eastAsia"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20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22</w:t>
      </w:r>
      <w:r>
        <w:rPr>
          <w:rFonts w:hint="eastAsia" w:ascii="黑体" w:eastAsia="黑体"/>
          <w:b/>
          <w:sz w:val="32"/>
          <w:szCs w:val="32"/>
        </w:rPr>
        <w:t>年单招技能测试大纲</w:t>
      </w:r>
    </w:p>
    <w:p>
      <w:pPr>
        <w:ind w:firstLine="643" w:firstLineChars="200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一、适用对象</w:t>
      </w:r>
    </w:p>
    <w:p>
      <w:pPr>
        <w:pStyle w:val="11"/>
        <w:spacing w:line="660" w:lineRule="exact"/>
        <w:ind w:firstLine="566" w:firstLineChars="177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本考试大纲适用于20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年海南经贸职业技术学院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财富管理（公司金融与投资管理）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（公司金融与投资管理）专业对口单独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职业技能测试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ind w:firstLine="643" w:firstLineChars="200"/>
        <w:rPr>
          <w:rFonts w:hint="default" w:asci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二、考试总体内容和要求</w:t>
      </w:r>
    </w:p>
    <w:p>
      <w:pPr>
        <w:widowControl/>
        <w:snapToGrid w:val="0"/>
        <w:spacing w:line="360" w:lineRule="auto"/>
        <w:ind w:firstLine="640" w:firstLineChars="20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根据《20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年海南省高等职业院校对口单独考试招生实施办法》，“文化素质”笔试统一由省考试局组织安排，“职业技能测试”由招生学校命题实施，本大纲为20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年海南经贸职业技术学院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财富管理（公司金融与投资管理）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专业对口单独考试招生“职业技能测试”考试大纲。“职业技能测试”成绩满分合计为150分，录取时以合格或不合格呈现，分专业理论和技能操作两部分内容：专业理论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共90分，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主要考核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财富管理（公司金融与投资管理）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专业的理论知识，采取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笔试考试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的方式；技能操作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共60分，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主要考查考生掌握所报专业的实际操作能力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采取笔试考试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的方式。</w:t>
      </w:r>
    </w:p>
    <w:p>
      <w:pPr>
        <w:ind w:left="568"/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楷体_GB2312" w:eastAsia="楷体_GB2312"/>
          <w:b/>
          <w:bCs/>
          <w:sz w:val="32"/>
          <w:szCs w:val="32"/>
        </w:rPr>
        <w:t>、考试</w:t>
      </w: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具体</w:t>
      </w:r>
      <w:r>
        <w:rPr>
          <w:rFonts w:hint="eastAsia" w:ascii="楷体_GB2312" w:eastAsia="楷体_GB2312"/>
          <w:b/>
          <w:bCs/>
          <w:sz w:val="32"/>
          <w:szCs w:val="32"/>
        </w:rPr>
        <w:t>要求</w:t>
      </w: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示例</w:t>
      </w:r>
    </w:p>
    <w:p>
      <w:pPr>
        <w:numPr>
          <w:ilvl w:val="0"/>
          <w:numId w:val="0"/>
        </w:numPr>
        <w:spacing w:line="660" w:lineRule="exact"/>
        <w:ind w:firstLine="640" w:firstLineChars="20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本考试内容包括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部分：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金融市场体系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，证券的概念与含义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股票、债券、基金，金融风险管理，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个人理财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理财规划。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分别为：</w:t>
      </w:r>
    </w:p>
    <w:p>
      <w:pPr>
        <w:numPr>
          <w:ilvl w:val="0"/>
          <w:numId w:val="1"/>
        </w:numPr>
        <w:spacing w:line="660" w:lineRule="exact"/>
        <w:ind w:firstLine="640" w:firstLineChars="200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金融市场体系</w:t>
      </w:r>
    </w:p>
    <w:p>
      <w:pPr>
        <w:numPr>
          <w:ilvl w:val="0"/>
          <w:numId w:val="0"/>
        </w:numPr>
        <w:spacing w:line="660" w:lineRule="exact"/>
        <w:ind w:firstLine="640" w:firstLineChars="20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金融市场的概念及分类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660" w:lineRule="exact"/>
        <w:ind w:firstLine="640" w:firstLineChars="200"/>
        <w:rPr>
          <w:rFonts w:hint="default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（二）证券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市场主体</w:t>
      </w:r>
    </w:p>
    <w:p>
      <w:pPr>
        <w:spacing w:line="660" w:lineRule="exact"/>
        <w:ind w:firstLine="480" w:firstLineChars="15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1.证券的概念与含义。</w:t>
      </w:r>
    </w:p>
    <w:p>
      <w:pPr>
        <w:spacing w:line="660" w:lineRule="exact"/>
        <w:ind w:firstLine="640" w:firstLineChars="20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2.证券的主要种类。</w:t>
      </w:r>
    </w:p>
    <w:p>
      <w:pPr>
        <w:spacing w:line="660" w:lineRule="exact"/>
        <w:ind w:firstLine="640" w:firstLineChars="200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证券市场监管机构。</w:t>
      </w:r>
    </w:p>
    <w:p>
      <w:pPr>
        <w:spacing w:line="660" w:lineRule="exact"/>
        <w:ind w:firstLine="640" w:firstLineChars="200"/>
        <w:rPr>
          <w:rFonts w:hint="default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（三）股票、债券、基金</w:t>
      </w:r>
    </w:p>
    <w:p>
      <w:pPr>
        <w:spacing w:line="660" w:lineRule="exact"/>
        <w:ind w:firstLine="640" w:firstLineChars="200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1.股票概念及分类</w:t>
      </w:r>
    </w:p>
    <w:p>
      <w:pPr>
        <w:spacing w:line="660" w:lineRule="exact"/>
        <w:ind w:firstLine="640" w:firstLineChars="200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2.股票发行制度及交易流程</w:t>
      </w:r>
    </w:p>
    <w:p>
      <w:pPr>
        <w:spacing w:line="660" w:lineRule="exact"/>
        <w:ind w:firstLine="640" w:firstLineChars="200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3.债券发行方式</w:t>
      </w:r>
    </w:p>
    <w:p>
      <w:pPr>
        <w:spacing w:line="660" w:lineRule="exact"/>
        <w:ind w:firstLine="480" w:firstLineChars="15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证券投资基金的概念与含义。</w:t>
      </w:r>
    </w:p>
    <w:p>
      <w:pPr>
        <w:spacing w:line="660" w:lineRule="exact"/>
        <w:ind w:firstLine="640" w:firstLineChars="200"/>
        <w:rPr>
          <w:rFonts w:hint="default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金融风险管理</w:t>
      </w:r>
    </w:p>
    <w:p>
      <w:pPr>
        <w:spacing w:line="660" w:lineRule="exact"/>
        <w:ind w:firstLine="480" w:firstLineChars="150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1.风险的概念及特征</w:t>
      </w:r>
    </w:p>
    <w:p>
      <w:pPr>
        <w:spacing w:line="660" w:lineRule="exact"/>
        <w:ind w:firstLine="640" w:firstLineChars="200"/>
        <w:rPr>
          <w:rFonts w:hint="default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2.风险的分类及管理</w:t>
      </w:r>
    </w:p>
    <w:p>
      <w:pPr>
        <w:spacing w:line="660" w:lineRule="exact"/>
        <w:ind w:firstLine="640" w:firstLineChars="200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（五）个人理财</w:t>
      </w:r>
    </w:p>
    <w:p>
      <w:pPr>
        <w:spacing w:line="660" w:lineRule="exact"/>
        <w:ind w:firstLine="640" w:firstLineChars="20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1.个人理财的基本含义和主要渠道。</w:t>
      </w:r>
    </w:p>
    <w:p>
      <w:pPr>
        <w:spacing w:line="660" w:lineRule="exact"/>
        <w:ind w:firstLine="640" w:firstLineChars="200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2.个人的主要收入、财富和支出项的构成。</w:t>
      </w:r>
    </w:p>
    <w:p>
      <w:pPr>
        <w:spacing w:line="660" w:lineRule="exact"/>
        <w:ind w:firstLine="640" w:firstLineChars="200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六）理财规划</w:t>
      </w:r>
    </w:p>
    <w:p>
      <w:pPr>
        <w:spacing w:line="660" w:lineRule="exact"/>
        <w:ind w:firstLine="640" w:firstLineChars="200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1.现金规划基本认知</w:t>
      </w:r>
    </w:p>
    <w:p>
      <w:pPr>
        <w:spacing w:line="660" w:lineRule="exact"/>
        <w:ind w:firstLine="640" w:firstLineChars="200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2.住房规划基本概念</w:t>
      </w:r>
    </w:p>
    <w:p>
      <w:pPr>
        <w:spacing w:line="660" w:lineRule="exact"/>
        <w:ind w:firstLine="640" w:firstLineChars="200"/>
        <w:rPr>
          <w:rFonts w:hint="default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3.理财风险认识及风险管理</w:t>
      </w:r>
    </w:p>
    <w:p>
      <w:pPr>
        <w:ind w:left="568"/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四、</w:t>
      </w:r>
      <w:r>
        <w:rPr>
          <w:rFonts w:hint="eastAsia" w:ascii="楷体_GB2312" w:eastAsia="楷体_GB2312"/>
          <w:b/>
          <w:bCs/>
          <w:sz w:val="32"/>
          <w:szCs w:val="32"/>
        </w:rPr>
        <w:t>参考书目</w:t>
      </w:r>
    </w:p>
    <w:p>
      <w:pPr>
        <w:spacing w:line="660" w:lineRule="exact"/>
        <w:ind w:firstLine="640" w:firstLineChars="200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1.《金融市场基础知识》，中国财政经济出版社; 第1版 (2021年9月28日)</w:t>
      </w:r>
    </w:p>
    <w:p>
      <w:pPr>
        <w:spacing w:line="660" w:lineRule="exact"/>
        <w:ind w:firstLine="640" w:firstLineChars="200"/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Times New Roman" w:eastAsia="仿宋_GB2312" w:cs="Times New Roman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_GB2312" w:hAnsi="Times New Roman" w:eastAsia="仿宋_GB2312" w:cs="Times New Roman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个人理财</w:t>
      </w:r>
      <w:r>
        <w:rPr>
          <w:rFonts w:hint="eastAsia" w:ascii="仿宋_GB2312" w:hAnsi="Times New Roman" w:eastAsia="仿宋_GB2312" w:cs="Times New Roman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》，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康建军</w:t>
      </w:r>
      <w:r>
        <w:rPr>
          <w:rFonts w:hint="eastAsia" w:ascii="仿宋_GB2312" w:hAnsi="Times New Roman" w:eastAsia="仿宋_GB2312" w:cs="Times New Roman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Times New Roman" w:eastAsia="仿宋_GB2312" w:cs="Times New Roman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中国人民大学出版社</w:t>
      </w:r>
      <w:r>
        <w:rPr>
          <w:rFonts w:hint="eastAsia" w:ascii="仿宋_GB2312" w:hAnsi="Times New Roman" w:eastAsia="仿宋_GB2312" w:cs="Times New Roman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; 第1版 (</w:t>
      </w:r>
      <w:r>
        <w:rPr>
          <w:rFonts w:hint="eastAsia" w:ascii="仿宋_GB2312" w:hAnsi="Times New Roman" w:eastAsia="仿宋_GB2312" w:cs="Times New Roman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仿宋_GB2312" w:hAnsi="Times New Roman" w:eastAsia="仿宋_GB2312" w:cs="Times New Roman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日)</w:t>
      </w:r>
    </w:p>
    <w:p>
      <w:pPr>
        <w:spacing w:line="360" w:lineRule="auto"/>
        <w:ind w:firstLine="960" w:firstLineChars="300"/>
        <w:rPr>
          <w:rFonts w:ascii="仿宋_GB2312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楷体_GB2312" w:eastAsia="楷体_GB2312"/>
          <w:b/>
          <w:bCs/>
          <w:sz w:val="32"/>
          <w:szCs w:val="32"/>
        </w:rPr>
      </w:pPr>
    </w:p>
    <w:p>
      <w:pPr>
        <w:rPr>
          <w:rFonts w:hint="eastAsia" w:ascii="楷体_GB2312" w:eastAsia="楷体_GB2312"/>
          <w:b/>
          <w:bCs/>
          <w:sz w:val="32"/>
          <w:szCs w:val="32"/>
        </w:rPr>
      </w:pPr>
    </w:p>
    <w:p>
      <w:pPr>
        <w:rPr>
          <w:rFonts w:hint="eastAsia" w:ascii="楷体_GB2312" w:eastAsia="楷体_GB2312"/>
          <w:b/>
          <w:bCs/>
          <w:sz w:val="32"/>
          <w:szCs w:val="32"/>
        </w:rPr>
      </w:pPr>
      <w:r>
        <w:rPr>
          <w:rFonts w:hint="eastAsia" w:ascii="楷体_GB2312" w:eastAsia="楷体_GB2312"/>
          <w:b/>
          <w:bCs/>
          <w:sz w:val="32"/>
          <w:szCs w:val="32"/>
        </w:rPr>
        <w:t>执笔人：</w:t>
      </w:r>
      <w: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  <w:t>陈希西</w:t>
      </w:r>
      <w:r>
        <w:rPr>
          <w:rFonts w:hint="eastAsia" w:ascii="楷体_GB2312" w:eastAsia="楷体_GB2312"/>
          <w:b/>
          <w:bCs/>
          <w:sz w:val="32"/>
          <w:szCs w:val="32"/>
        </w:rPr>
        <w:t xml:space="preserve">         审核人：          二级学院(盖章)</w:t>
      </w:r>
    </w:p>
    <w:p>
      <w:pPr>
        <w:spacing w:line="66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6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66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814" w:right="1418" w:bottom="113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278461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99F1F2C"/>
    <w:multiLevelType w:val="singleLevel"/>
    <w:tmpl w:val="D99F1F2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66"/>
    <w:rsid w:val="00026AA9"/>
    <w:rsid w:val="000539A8"/>
    <w:rsid w:val="000A4F72"/>
    <w:rsid w:val="000A7A07"/>
    <w:rsid w:val="000C25E8"/>
    <w:rsid w:val="000D07B8"/>
    <w:rsid w:val="000F53E4"/>
    <w:rsid w:val="0010039B"/>
    <w:rsid w:val="001041AC"/>
    <w:rsid w:val="00127BEF"/>
    <w:rsid w:val="001368FC"/>
    <w:rsid w:val="001401F2"/>
    <w:rsid w:val="00184946"/>
    <w:rsid w:val="001A385B"/>
    <w:rsid w:val="001E76D2"/>
    <w:rsid w:val="00206E36"/>
    <w:rsid w:val="002111E6"/>
    <w:rsid w:val="00213754"/>
    <w:rsid w:val="002674A3"/>
    <w:rsid w:val="0028497D"/>
    <w:rsid w:val="002B4563"/>
    <w:rsid w:val="002D1524"/>
    <w:rsid w:val="002E6731"/>
    <w:rsid w:val="002F1ED2"/>
    <w:rsid w:val="0031401A"/>
    <w:rsid w:val="00347C38"/>
    <w:rsid w:val="003A5D71"/>
    <w:rsid w:val="003C0898"/>
    <w:rsid w:val="003D793D"/>
    <w:rsid w:val="003F2A9E"/>
    <w:rsid w:val="003F6BBA"/>
    <w:rsid w:val="0044236C"/>
    <w:rsid w:val="004451AC"/>
    <w:rsid w:val="004679D0"/>
    <w:rsid w:val="00490DD8"/>
    <w:rsid w:val="004A4C7E"/>
    <w:rsid w:val="004F4AB6"/>
    <w:rsid w:val="00500141"/>
    <w:rsid w:val="0051105F"/>
    <w:rsid w:val="005A7E6F"/>
    <w:rsid w:val="005B493A"/>
    <w:rsid w:val="005D4009"/>
    <w:rsid w:val="005E3665"/>
    <w:rsid w:val="00600693"/>
    <w:rsid w:val="00601226"/>
    <w:rsid w:val="006072B8"/>
    <w:rsid w:val="00626F0B"/>
    <w:rsid w:val="006426AA"/>
    <w:rsid w:val="00663FD0"/>
    <w:rsid w:val="00684285"/>
    <w:rsid w:val="006B633A"/>
    <w:rsid w:val="00705E08"/>
    <w:rsid w:val="00710FF5"/>
    <w:rsid w:val="00757135"/>
    <w:rsid w:val="0076112F"/>
    <w:rsid w:val="007A54C7"/>
    <w:rsid w:val="007C17F9"/>
    <w:rsid w:val="007D5566"/>
    <w:rsid w:val="007F239B"/>
    <w:rsid w:val="00821256"/>
    <w:rsid w:val="00821A45"/>
    <w:rsid w:val="00831DE8"/>
    <w:rsid w:val="008333B2"/>
    <w:rsid w:val="008360F4"/>
    <w:rsid w:val="008D67B3"/>
    <w:rsid w:val="008E6F00"/>
    <w:rsid w:val="00905A23"/>
    <w:rsid w:val="00944195"/>
    <w:rsid w:val="00971D06"/>
    <w:rsid w:val="00973370"/>
    <w:rsid w:val="009E6064"/>
    <w:rsid w:val="00A04BFC"/>
    <w:rsid w:val="00A271B8"/>
    <w:rsid w:val="00A35A03"/>
    <w:rsid w:val="00A420AE"/>
    <w:rsid w:val="00A43E5E"/>
    <w:rsid w:val="00A50174"/>
    <w:rsid w:val="00A53769"/>
    <w:rsid w:val="00A5474B"/>
    <w:rsid w:val="00A65C94"/>
    <w:rsid w:val="00AE1690"/>
    <w:rsid w:val="00B01AF0"/>
    <w:rsid w:val="00B028FA"/>
    <w:rsid w:val="00B13A81"/>
    <w:rsid w:val="00B32491"/>
    <w:rsid w:val="00B328BE"/>
    <w:rsid w:val="00B379F2"/>
    <w:rsid w:val="00B42C36"/>
    <w:rsid w:val="00BE08B7"/>
    <w:rsid w:val="00BE3020"/>
    <w:rsid w:val="00C205E2"/>
    <w:rsid w:val="00C44507"/>
    <w:rsid w:val="00C45DD5"/>
    <w:rsid w:val="00C475F7"/>
    <w:rsid w:val="00C62C1C"/>
    <w:rsid w:val="00CE1D59"/>
    <w:rsid w:val="00CE2707"/>
    <w:rsid w:val="00D027F8"/>
    <w:rsid w:val="00D252CD"/>
    <w:rsid w:val="00D76666"/>
    <w:rsid w:val="00D9346F"/>
    <w:rsid w:val="00DD69AC"/>
    <w:rsid w:val="00E00260"/>
    <w:rsid w:val="00E2158F"/>
    <w:rsid w:val="00E25BFF"/>
    <w:rsid w:val="00E34CE1"/>
    <w:rsid w:val="00E7706A"/>
    <w:rsid w:val="00E82574"/>
    <w:rsid w:val="00EE126A"/>
    <w:rsid w:val="00F00F8D"/>
    <w:rsid w:val="00F32D89"/>
    <w:rsid w:val="00F428A3"/>
    <w:rsid w:val="00F51C84"/>
    <w:rsid w:val="00F6757F"/>
    <w:rsid w:val="00F830B4"/>
    <w:rsid w:val="00FA71A3"/>
    <w:rsid w:val="00FB49C7"/>
    <w:rsid w:val="00FB628E"/>
    <w:rsid w:val="00FD55E5"/>
    <w:rsid w:val="00FF4E3A"/>
    <w:rsid w:val="0FC87103"/>
    <w:rsid w:val="12946461"/>
    <w:rsid w:val="226E44E2"/>
    <w:rsid w:val="36F86725"/>
    <w:rsid w:val="3C8A586C"/>
    <w:rsid w:val="3E8B7848"/>
    <w:rsid w:val="5CB4040D"/>
    <w:rsid w:val="628229EF"/>
    <w:rsid w:val="6D900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标题 1 Char"/>
    <w:basedOn w:val="6"/>
    <w:link w:val="2"/>
    <w:qFormat/>
    <w:uiPriority w:val="9"/>
    <w:rPr>
      <w:b/>
      <w:bCs/>
      <w:kern w:val="44"/>
      <w:sz w:val="44"/>
      <w:szCs w:val="44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a-size-large"/>
    <w:basedOn w:val="6"/>
    <w:qFormat/>
    <w:uiPriority w:val="0"/>
  </w:style>
  <w:style w:type="character" w:customStyle="1" w:styleId="13">
    <w:name w:val="author"/>
    <w:basedOn w:val="6"/>
    <w:qFormat/>
    <w:uiPriority w:val="0"/>
  </w:style>
  <w:style w:type="character" w:customStyle="1" w:styleId="14">
    <w:name w:val="a-color-secondary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184</Words>
  <Characters>1051</Characters>
  <Lines>8</Lines>
  <Paragraphs>2</Paragraphs>
  <TotalTime>3</TotalTime>
  <ScaleCrop>false</ScaleCrop>
  <LinksUpToDate>false</LinksUpToDate>
  <CharactersWithSpaces>1233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2017-03-20T07:47:00Z</dcterms:created>
  <dc:creator>lenovo</dc:creator>
  <cp:lastModifiedBy>希西</cp:lastModifiedBy>
  <cp:lastPrinted>2018-01-10T03:01:00Z</cp:lastPrinted>
  <dcterms:modified xsi:type="dcterms:W3CDTF">2022-01-25T01:22:52Z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