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left"/>
        <w:rPr>
          <w:rFonts w:ascii="宋体" w:cs="宋体"/>
          <w:kern w:val="0"/>
          <w:sz w:val="22"/>
        </w:rPr>
      </w:pPr>
      <w:bookmarkStart w:id="0" w:name="_GoBack"/>
      <w:bookmarkEnd w:id="0"/>
      <w:r>
        <w:rPr>
          <w:rFonts w:ascii="宋体" w:cs="宋体"/>
          <w:kern w:val="0"/>
          <w:sz w:val="22"/>
        </w:rPr>
        <w:drawing>
          <wp:inline distT="0" distB="0" distL="0" distR="0">
            <wp:extent cx="2655570" cy="556895"/>
            <wp:effectExtent l="0" t="0" r="1143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2655570" cy="556895"/>
                    </a:xfrm>
                    <a:prstGeom prst="rect">
                      <a:avLst/>
                    </a:prstGeom>
                    <a:noFill/>
                    <a:ln w="9525" cmpd="sng">
                      <a:noFill/>
                      <a:miter lim="800000"/>
                      <a:headEnd/>
                      <a:tailEnd/>
                    </a:ln>
                  </pic:spPr>
                </pic:pic>
              </a:graphicData>
            </a:graphic>
          </wp:inline>
        </w:drawing>
      </w:r>
    </w:p>
    <w:p>
      <w:pPr>
        <w:spacing w:beforeLines="50" w:afterLines="50"/>
        <w:jc w:val="left"/>
        <w:rPr>
          <w:rFonts w:ascii="宋体" w:cs="宋体"/>
          <w:kern w:val="0"/>
          <w:sz w:val="22"/>
        </w:rPr>
      </w:pPr>
    </w:p>
    <w:p>
      <w:pPr>
        <w:spacing w:beforeLines="50" w:afterLines="50"/>
        <w:jc w:val="left"/>
        <w:rPr>
          <w:rFonts w:hint="eastAsia" w:ascii="宋体" w:cs="宋体"/>
          <w:kern w:val="0"/>
          <w:sz w:val="22"/>
        </w:rPr>
      </w:pPr>
    </w:p>
    <w:p>
      <w:pPr>
        <w:spacing w:beforeLines="50" w:afterLines="50"/>
        <w:jc w:val="center"/>
        <w:rPr>
          <w:rFonts w:ascii="黑体" w:eastAsia="黑体"/>
          <w:color w:val="FF0000"/>
          <w:sz w:val="96"/>
          <w:szCs w:val="96"/>
        </w:rPr>
      </w:pPr>
      <w:r>
        <w:rPr>
          <w:rFonts w:hint="eastAsia" w:ascii="黑体" w:eastAsia="黑体" w:cs="黑体"/>
          <w:color w:val="FF0000"/>
          <w:sz w:val="96"/>
          <w:szCs w:val="96"/>
        </w:rPr>
        <w:t>教学督导工作简报</w:t>
      </w:r>
    </w:p>
    <w:p>
      <w:pPr>
        <w:jc w:val="center"/>
        <w:rPr>
          <w:rFonts w:ascii="黑体" w:hAnsi="黑体" w:eastAsia="黑体" w:cs="黑体"/>
          <w:b/>
          <w:bCs/>
          <w:sz w:val="52"/>
          <w:szCs w:val="52"/>
        </w:rPr>
      </w:pPr>
      <w:r>
        <w:rPr>
          <w:rFonts w:hint="eastAsia" w:ascii="黑体" w:hAnsi="黑体" w:eastAsia="黑体" w:cs="黑体"/>
          <w:b/>
          <w:bCs/>
          <w:sz w:val="52"/>
          <w:szCs w:val="52"/>
        </w:rPr>
        <w:t>2019-2020学年第一学期</w:t>
      </w:r>
    </w:p>
    <w:p>
      <w:pPr>
        <w:jc w:val="center"/>
        <w:rPr>
          <w:rFonts w:ascii="仿宋" w:hAnsi="仿宋" w:eastAsia="仿宋" w:cs="仿宋"/>
          <w:b/>
          <w:bCs/>
          <w:sz w:val="44"/>
          <w:szCs w:val="44"/>
        </w:rPr>
      </w:pPr>
      <w:r>
        <w:rPr>
          <w:rFonts w:hint="eastAsia" w:ascii="仿宋" w:hAnsi="仿宋" w:eastAsia="仿宋" w:cs="仿宋"/>
          <w:b/>
          <w:bCs/>
          <w:sz w:val="44"/>
          <w:szCs w:val="44"/>
        </w:rPr>
        <w:t>第1期(总第50期)</w:t>
      </w:r>
    </w:p>
    <w:p>
      <w:pPr>
        <w:spacing w:beforeLines="50" w:afterLines="50"/>
        <w:rPr>
          <w:rFonts w:ascii="黑体" w:hAnsi="宋体" w:eastAsia="黑体" w:cs="仿宋_GB2312"/>
          <w:b/>
          <w:bCs/>
          <w:sz w:val="32"/>
          <w:szCs w:val="32"/>
        </w:rPr>
      </w:pPr>
    </w:p>
    <w:p>
      <w:pPr>
        <w:spacing w:beforeLines="50" w:afterLines="50"/>
        <w:rPr>
          <w:rFonts w:ascii="黑体" w:hAnsi="宋体" w:eastAsia="黑体" w:cs="仿宋_GB2312"/>
          <w:b/>
          <w:bCs/>
          <w:sz w:val="32"/>
          <w:szCs w:val="32"/>
        </w:rPr>
      </w:pPr>
    </w:p>
    <w:p>
      <w:pPr>
        <w:spacing w:beforeLines="50" w:afterLines="50"/>
        <w:rPr>
          <w:rFonts w:ascii="黑体" w:hAnsi="宋体" w:eastAsia="黑体" w:cs="仿宋_GB2312"/>
          <w:b/>
          <w:bCs/>
          <w:sz w:val="32"/>
          <w:szCs w:val="32"/>
        </w:rPr>
      </w:pPr>
    </w:p>
    <w:p>
      <w:pPr>
        <w:spacing w:beforeLines="50" w:afterLines="50"/>
        <w:ind w:firstLine="643" w:firstLineChars="200"/>
        <w:rPr>
          <w:rFonts w:ascii="仿宋_GB2312" w:hAnsi="宋体" w:eastAsia="仿宋_GB2312"/>
          <w:b/>
          <w:bCs/>
          <w:sz w:val="32"/>
          <w:szCs w:val="32"/>
        </w:rPr>
      </w:pPr>
      <w:r>
        <w:rPr>
          <w:rFonts w:hint="eastAsia" w:ascii="仿宋_GB2312" w:hAnsi="宋体" w:eastAsia="仿宋_GB2312" w:cs="仿宋_GB2312"/>
          <w:b/>
          <w:bCs/>
          <w:sz w:val="32"/>
          <w:szCs w:val="32"/>
        </w:rPr>
        <w:t>教务处编</w:t>
      </w:r>
      <w:r>
        <w:rPr>
          <w:rFonts w:hint="eastAsia" w:ascii="仿宋_GB2312" w:hAnsi="宋体" w:eastAsia="仿宋_GB2312" w:cs="微软雅黑"/>
          <w:b/>
          <w:bCs/>
          <w:sz w:val="32"/>
          <w:szCs w:val="32"/>
        </w:rPr>
        <w:t>　</w:t>
      </w:r>
      <w:r>
        <w:rPr>
          <w:rFonts w:hint="eastAsia" w:ascii="黑体" w:hAnsi="宋体" w:eastAsia="黑体" w:cs="微软雅黑"/>
          <w:b/>
          <w:bCs/>
          <w:sz w:val="32"/>
          <w:szCs w:val="32"/>
        </w:rPr>
        <w:t xml:space="preserve">　             </w:t>
      </w:r>
      <w:r>
        <w:rPr>
          <w:rFonts w:hint="eastAsia" w:ascii="黑体" w:hAnsi="宋体" w:eastAsia="黑体" w:cs="微软雅黑"/>
          <w:b/>
          <w:bCs/>
          <w:sz w:val="32"/>
          <w:szCs w:val="32"/>
          <w:lang w:val="en-US" w:eastAsia="zh-CN"/>
        </w:rPr>
        <w:t xml:space="preserve">      </w:t>
      </w:r>
      <w:r>
        <w:rPr>
          <w:rFonts w:hint="eastAsia" w:ascii="黑体" w:hAnsi="宋体" w:eastAsia="黑体" w:cs="微软雅黑"/>
          <w:b/>
          <w:bCs/>
          <w:sz w:val="32"/>
          <w:szCs w:val="32"/>
        </w:rPr>
        <w:t xml:space="preserve">      </w:t>
      </w:r>
      <w:r>
        <w:rPr>
          <w:rFonts w:hint="eastAsia" w:ascii="仿宋_GB2312" w:hAnsi="宋体" w:eastAsia="仿宋_GB2312" w:cs="仿宋_GB2312"/>
          <w:b/>
          <w:bCs/>
          <w:sz w:val="32"/>
          <w:szCs w:val="32"/>
        </w:rPr>
        <w:t>二〇一九年九月</w:t>
      </w:r>
    </w:p>
    <w:tbl>
      <w:tblPr>
        <w:tblStyle w:val="4"/>
        <w:tblW w:w="9034" w:type="dxa"/>
        <w:jc w:val="center"/>
        <w:tblInd w:w="-106"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0"/>
        <w:gridCol w:w="6004"/>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9034" w:type="dxa"/>
            <w:gridSpan w:val="2"/>
            <w:tcBorders>
              <w:top w:val="single" w:color="FF0000" w:sz="4" w:space="0"/>
              <w:left w:val="nil"/>
              <w:bottom w:val="nil"/>
              <w:right w:val="nil"/>
            </w:tcBorders>
          </w:tcPr>
          <w:p>
            <w:pPr>
              <w:spacing w:beforeLines="50" w:afterLines="50"/>
              <w:rPr>
                <w:rFonts w:ascii="方正报宋简体" w:eastAsia="方正报宋简体"/>
                <w:b/>
                <w:bCs/>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37" w:hRule="atLeast"/>
          <w:jc w:val="center"/>
        </w:trPr>
        <w:tc>
          <w:tcPr>
            <w:tcW w:w="3030" w:type="dxa"/>
            <w:tcBorders>
              <w:top w:val="nil"/>
              <w:left w:val="nil"/>
              <w:bottom w:val="nil"/>
              <w:right w:val="nil"/>
            </w:tcBorders>
            <w:vAlign w:val="center"/>
          </w:tcPr>
          <w:p>
            <w:pPr>
              <w:spacing w:beforeLines="50" w:afterLines="50" w:line="300" w:lineRule="auto"/>
              <w:ind w:right="560"/>
              <w:rPr>
                <w:rFonts w:ascii="仿宋_GB2312" w:hAnsi="宋体" w:eastAsia="仿宋_GB2312"/>
                <w:sz w:val="28"/>
                <w:szCs w:val="28"/>
              </w:rPr>
            </w:pPr>
            <w:r>
              <w:rPr>
                <w:rFonts w:hint="eastAsia" w:ascii="仿宋_GB2312" w:hAnsi="宋体" w:eastAsia="仿宋_GB2312" w:cs="仿宋_GB2312"/>
                <w:sz w:val="28"/>
                <w:szCs w:val="28"/>
              </w:rPr>
              <w:t>主  审:马</w:t>
            </w: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红</w:t>
            </w:r>
          </w:p>
        </w:tc>
        <w:tc>
          <w:tcPr>
            <w:tcW w:w="6004" w:type="dxa"/>
            <w:tcBorders>
              <w:top w:val="nil"/>
              <w:left w:val="nil"/>
              <w:bottom w:val="nil"/>
              <w:right w:val="nil"/>
            </w:tcBorders>
            <w:vAlign w:val="center"/>
          </w:tcPr>
          <w:p>
            <w:pPr>
              <w:spacing w:beforeLines="50" w:afterLines="50" w:line="300" w:lineRule="auto"/>
              <w:ind w:right="560" w:firstLine="2800" w:firstLineChars="1000"/>
              <w:rPr>
                <w:rFonts w:ascii="仿宋_GB2312" w:hAnsi="宋体" w:eastAsia="仿宋_GB2312"/>
                <w:sz w:val="28"/>
                <w:szCs w:val="28"/>
              </w:rPr>
            </w:pPr>
            <w:r>
              <w:rPr>
                <w:rFonts w:hint="eastAsia" w:ascii="仿宋_GB2312" w:hAnsi="宋体" w:eastAsia="仿宋_GB2312" w:cs="仿宋_GB2312"/>
                <w:sz w:val="28"/>
                <w:szCs w:val="28"/>
              </w:rPr>
              <w:t>主  编:汤孝锦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20" w:hRule="atLeast"/>
          <w:jc w:val="center"/>
        </w:trPr>
        <w:tc>
          <w:tcPr>
            <w:tcW w:w="3030" w:type="dxa"/>
            <w:tcBorders>
              <w:top w:val="nil"/>
              <w:left w:val="nil"/>
              <w:bottom w:val="nil"/>
              <w:right w:val="nil"/>
            </w:tcBorders>
            <w:vAlign w:val="center"/>
          </w:tcPr>
          <w:p>
            <w:pPr>
              <w:spacing w:beforeLines="50" w:afterLines="50" w:line="300" w:lineRule="auto"/>
              <w:ind w:right="560"/>
              <w:rPr>
                <w:rFonts w:ascii="仿宋_GB2312" w:hAnsi="宋体" w:eastAsia="仿宋_GB2312"/>
                <w:sz w:val="28"/>
                <w:szCs w:val="28"/>
              </w:rPr>
            </w:pPr>
            <w:r>
              <w:rPr>
                <w:rFonts w:hint="eastAsia" w:ascii="仿宋_GB2312" w:hAnsi="宋体" w:eastAsia="仿宋_GB2312" w:cs="仿宋_GB2312"/>
                <w:sz w:val="28"/>
                <w:szCs w:val="28"/>
              </w:rPr>
              <w:t>副主审:张</w:t>
            </w: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坚</w:t>
            </w:r>
          </w:p>
        </w:tc>
        <w:tc>
          <w:tcPr>
            <w:tcW w:w="6004" w:type="dxa"/>
            <w:tcBorders>
              <w:top w:val="nil"/>
              <w:left w:val="nil"/>
              <w:bottom w:val="nil"/>
              <w:right w:val="nil"/>
            </w:tcBorders>
            <w:vAlign w:val="center"/>
          </w:tcPr>
          <w:p>
            <w:pPr>
              <w:spacing w:beforeLines="50" w:afterLines="50" w:line="300" w:lineRule="auto"/>
              <w:ind w:right="840" w:firstLine="2800" w:firstLineChars="1000"/>
              <w:rPr>
                <w:rFonts w:ascii="仿宋_GB2312" w:hAnsi="宋体" w:eastAsia="仿宋_GB2312"/>
                <w:sz w:val="28"/>
                <w:szCs w:val="28"/>
              </w:rPr>
            </w:pPr>
            <w:r>
              <w:rPr>
                <w:rFonts w:hint="eastAsia" w:ascii="仿宋_GB2312" w:hAnsi="宋体" w:eastAsia="仿宋_GB2312" w:cs="仿宋_GB2312"/>
                <w:sz w:val="28"/>
                <w:szCs w:val="28"/>
              </w:rPr>
              <w:t>副主编</w:t>
            </w:r>
            <w:r>
              <w:rPr>
                <w:rFonts w:ascii="仿宋_GB2312" w:hAnsi="宋体" w:eastAsia="仿宋_GB2312" w:cs="仿宋_GB2312"/>
                <w:sz w:val="28"/>
                <w:szCs w:val="28"/>
              </w:rPr>
              <w:t>:</w:t>
            </w:r>
            <w:r>
              <w:rPr>
                <w:rFonts w:hint="eastAsia" w:ascii="仿宋_GB2312" w:hAnsi="宋体" w:eastAsia="仿宋_GB2312" w:cs="仿宋_GB2312"/>
                <w:sz w:val="28"/>
                <w:szCs w:val="28"/>
              </w:rPr>
              <w:t>卢惠萍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87" w:hRule="atLeast"/>
          <w:jc w:val="center"/>
        </w:trPr>
        <w:tc>
          <w:tcPr>
            <w:tcW w:w="3030" w:type="dxa"/>
            <w:tcBorders>
              <w:top w:val="nil"/>
              <w:left w:val="nil"/>
              <w:bottom w:val="nil"/>
              <w:right w:val="nil"/>
            </w:tcBorders>
            <w:vAlign w:val="center"/>
          </w:tcPr>
          <w:p>
            <w:pPr>
              <w:spacing w:beforeLines="50" w:afterLines="50" w:line="300" w:lineRule="auto"/>
              <w:rPr>
                <w:rFonts w:ascii="仿宋_GB2312" w:hAnsi="宋体" w:eastAsia="仿宋_GB2312"/>
                <w:sz w:val="28"/>
                <w:szCs w:val="28"/>
              </w:rPr>
            </w:pPr>
          </w:p>
        </w:tc>
        <w:tc>
          <w:tcPr>
            <w:tcW w:w="6004" w:type="dxa"/>
            <w:tcBorders>
              <w:top w:val="nil"/>
              <w:left w:val="nil"/>
              <w:bottom w:val="nil"/>
              <w:right w:val="nil"/>
            </w:tcBorders>
            <w:vAlign w:val="center"/>
          </w:tcPr>
          <w:p>
            <w:pPr>
              <w:spacing w:beforeLines="50" w:afterLines="50" w:line="300" w:lineRule="auto"/>
              <w:ind w:right="560" w:firstLine="2800" w:firstLineChars="1000"/>
              <w:rPr>
                <w:rFonts w:ascii="仿宋_GB2312" w:hAnsi="宋体" w:eastAsia="仿宋_GB2312"/>
                <w:sz w:val="28"/>
                <w:szCs w:val="28"/>
              </w:rPr>
            </w:pPr>
            <w:r>
              <w:rPr>
                <w:rFonts w:hint="eastAsia" w:ascii="仿宋_GB2312" w:hAnsi="宋体" w:eastAsia="仿宋_GB2312" w:cs="仿宋_GB2312"/>
                <w:sz w:val="28"/>
                <w:szCs w:val="28"/>
              </w:rPr>
              <w:t>编  辑:赵兴珍</w:t>
            </w:r>
          </w:p>
        </w:tc>
      </w:tr>
    </w:tbl>
    <w:p/>
    <w:p>
      <w:pPr>
        <w:autoSpaceDE w:val="0"/>
        <w:autoSpaceDN w:val="0"/>
        <w:adjustRightInd w:val="0"/>
        <w:spacing w:before="120" w:after="120" w:line="480" w:lineRule="exact"/>
      </w:pPr>
      <w:r>
        <w:rPr>
          <w:rFonts w:hint="eastAsia" w:ascii="黑体" w:hAnsi="黑体" w:eastAsia="黑体"/>
          <w:b/>
          <w:bCs/>
          <w:spacing w:val="7"/>
          <w:sz w:val="32"/>
          <w:szCs w:val="32"/>
        </w:rPr>
        <w:t>专题：</w:t>
      </w:r>
    </w:p>
    <w:p>
      <w:pPr>
        <w:rPr>
          <w:rFonts w:ascii="黑体" w:hAnsi="黑体" w:eastAsia="黑体" w:cs="黑体"/>
          <w:b/>
          <w:bCs/>
          <w:sz w:val="32"/>
          <w:szCs w:val="32"/>
        </w:rPr>
      </w:pPr>
      <w:r>
        <w:rPr>
          <w:rFonts w:hint="eastAsia" w:ascii="黑体" w:hAnsi="黑体" w:eastAsia="黑体" w:cs="黑体"/>
          <w:b/>
          <w:bCs/>
          <w:sz w:val="32"/>
          <w:szCs w:val="32"/>
        </w:rPr>
        <w:t>2019-2020学年第一学期第2周班级学生到课率抽查情况汇总与分析</w:t>
      </w:r>
    </w:p>
    <w:p>
      <w:pPr>
        <w:rPr>
          <w:rFonts w:ascii="黑体" w:hAnsi="黑体" w:eastAsia="黑体" w:cs="黑体"/>
          <w:sz w:val="30"/>
          <w:szCs w:val="30"/>
        </w:rPr>
      </w:pPr>
    </w:p>
    <w:p>
      <w:pPr>
        <w:rPr>
          <w:rFonts w:ascii="黑体" w:hAnsi="黑体" w:eastAsia="黑体" w:cs="黑体"/>
          <w:b/>
          <w:bCs/>
          <w:sz w:val="32"/>
          <w:szCs w:val="32"/>
        </w:rPr>
      </w:pPr>
      <w:r>
        <w:rPr>
          <w:rFonts w:hint="eastAsia" w:ascii="黑体" w:hAnsi="黑体" w:eastAsia="黑体" w:cs="黑体"/>
          <w:b/>
          <w:bCs/>
          <w:sz w:val="32"/>
          <w:szCs w:val="32"/>
        </w:rPr>
        <w:t>2019-2020学年第一学期第2周班级学生到课率抽查情况汇总与分析</w:t>
      </w:r>
    </w:p>
    <w:p>
      <w:pPr>
        <w:rPr>
          <w:rFonts w:hint="eastAsia" w:ascii="黑体" w:hAnsi="黑体" w:eastAsia="黑体" w:cs="黑体"/>
          <w:sz w:val="30"/>
          <w:szCs w:val="30"/>
        </w:rPr>
      </w:pPr>
    </w:p>
    <w:p>
      <w:pPr>
        <w:ind w:firstLine="600" w:firstLineChars="200"/>
        <w:rPr>
          <w:rFonts w:ascii="黑体" w:hAnsi="黑体" w:eastAsia="黑体" w:cs="黑体"/>
          <w:sz w:val="30"/>
          <w:szCs w:val="30"/>
        </w:rPr>
      </w:pPr>
      <w:r>
        <w:rPr>
          <w:rFonts w:hint="eastAsia" w:ascii="黑体" w:hAnsi="黑体" w:eastAsia="黑体" w:cs="黑体"/>
          <w:sz w:val="30"/>
          <w:szCs w:val="30"/>
        </w:rPr>
        <w:t>一、总体情况</w:t>
      </w:r>
    </w:p>
    <w:p>
      <w:pPr>
        <w:ind w:firstLine="560" w:firstLineChars="200"/>
        <w:rPr>
          <w:rFonts w:ascii="仿宋" w:hAnsi="仿宋" w:eastAsia="仿宋" w:cs="仿宋"/>
          <w:sz w:val="28"/>
          <w:szCs w:val="28"/>
        </w:rPr>
      </w:pPr>
      <w:r>
        <w:rPr>
          <w:rFonts w:hint="eastAsia" w:ascii="仿宋" w:hAnsi="仿宋" w:eastAsia="仿宋" w:cs="仿宋"/>
          <w:sz w:val="28"/>
          <w:szCs w:val="28"/>
        </w:rPr>
        <w:t>学校督导委于本学期第2周对全校有课的128个班级的到课率，进行了随机抽查，抽查覆盖率为100%。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本次随堂抽查结果显示：我校班级学生平均到课率第2周为96.92%。</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（一）本次班级学院到课率抽查结果显示：</w:t>
      </w:r>
    </w:p>
    <w:p>
      <w:pPr>
        <w:ind w:firstLine="560" w:firstLineChars="200"/>
        <w:rPr>
          <w:rFonts w:ascii="仿宋" w:hAnsi="仿宋" w:eastAsia="仿宋" w:cs="仿宋"/>
          <w:sz w:val="28"/>
          <w:szCs w:val="28"/>
        </w:rPr>
      </w:pPr>
      <w:r>
        <w:rPr>
          <w:rFonts w:hint="eastAsia" w:ascii="仿宋" w:hAnsi="仿宋" w:eastAsia="仿宋" w:cs="仿宋"/>
          <w:sz w:val="28"/>
          <w:szCs w:val="28"/>
        </w:rPr>
        <w:t>1.到课率100%的班级有71个，占总数的55.40%；</w:t>
      </w:r>
    </w:p>
    <w:p>
      <w:pPr>
        <w:ind w:firstLine="560" w:firstLineChars="200"/>
        <w:rPr>
          <w:rFonts w:ascii="仿宋" w:hAnsi="仿宋" w:eastAsia="仿宋" w:cs="仿宋"/>
          <w:sz w:val="28"/>
          <w:szCs w:val="28"/>
        </w:rPr>
      </w:pPr>
      <w:r>
        <w:rPr>
          <w:rFonts w:hint="eastAsia" w:ascii="仿宋" w:hAnsi="仿宋" w:eastAsia="仿宋" w:cs="仿宋"/>
          <w:sz w:val="28"/>
          <w:szCs w:val="28"/>
        </w:rPr>
        <w:t>2.到课率90%以上的班级有119个，占总数的93%；</w:t>
      </w:r>
    </w:p>
    <w:p>
      <w:pPr>
        <w:ind w:firstLine="560" w:firstLineChars="200"/>
        <w:rPr>
          <w:rFonts w:ascii="仿宋" w:hAnsi="仿宋" w:eastAsia="仿宋" w:cs="仿宋"/>
          <w:sz w:val="28"/>
          <w:szCs w:val="28"/>
        </w:rPr>
      </w:pPr>
      <w:r>
        <w:rPr>
          <w:rFonts w:hint="eastAsia" w:ascii="仿宋" w:hAnsi="仿宋" w:eastAsia="仿宋" w:cs="仿宋"/>
          <w:sz w:val="28"/>
          <w:szCs w:val="28"/>
        </w:rPr>
        <w:t>3.到课率最低的是18会计中澳1班，到课率为79.41%；</w:t>
      </w:r>
    </w:p>
    <w:p>
      <w:pPr>
        <w:spacing w:afterLines="50"/>
        <w:ind w:firstLine="560" w:firstLineChars="200"/>
        <w:rPr>
          <w:rFonts w:ascii="仿宋" w:hAnsi="仿宋" w:eastAsia="仿宋" w:cs="仿宋"/>
          <w:sz w:val="28"/>
          <w:szCs w:val="28"/>
        </w:rPr>
      </w:pPr>
      <w:r>
        <w:rPr>
          <w:rFonts w:hint="eastAsia" w:ascii="仿宋" w:hAnsi="仿宋" w:eastAsia="仿宋" w:cs="仿宋"/>
          <w:sz w:val="28"/>
          <w:szCs w:val="28"/>
        </w:rPr>
        <w:t>4.有12个本科班学生平均到课率达到100%,占本科班总数的75%,：</w:t>
      </w:r>
    </w:p>
    <w:tbl>
      <w:tblPr>
        <w:tblStyle w:val="4"/>
        <w:tblW w:w="8522" w:type="dxa"/>
        <w:tblInd w:w="96" w:type="dxa"/>
        <w:tblLayout w:type="fixed"/>
        <w:tblCellMar>
          <w:top w:w="0" w:type="dxa"/>
          <w:left w:w="108" w:type="dxa"/>
          <w:bottom w:w="0" w:type="dxa"/>
          <w:right w:w="108" w:type="dxa"/>
        </w:tblCellMar>
      </w:tblPr>
      <w:tblGrid>
        <w:gridCol w:w="726"/>
        <w:gridCol w:w="2835"/>
        <w:gridCol w:w="1276"/>
        <w:gridCol w:w="2410"/>
        <w:gridCol w:w="1267"/>
        <w:gridCol w:w="8"/>
      </w:tblGrid>
      <w:tr>
        <w:tblPrEx>
          <w:tblLayout w:type="fixed"/>
          <w:tblCellMar>
            <w:top w:w="0" w:type="dxa"/>
            <w:left w:w="108" w:type="dxa"/>
            <w:bottom w:w="0" w:type="dxa"/>
            <w:right w:w="108" w:type="dxa"/>
          </w:tblCellMar>
        </w:tblPrEx>
        <w:trPr>
          <w:trHeight w:val="375" w:hRule="atLeast"/>
        </w:trPr>
        <w:tc>
          <w:tcPr>
            <w:tcW w:w="726" w:type="dxa"/>
            <w:tcBorders>
              <w:top w:val="single" w:color="auto" w:sz="4" w:space="0"/>
              <w:left w:val="single" w:color="auto" w:sz="4" w:space="0"/>
              <w:bottom w:val="single" w:color="auto" w:sz="4" w:space="0"/>
              <w:right w:val="single" w:color="auto" w:sz="4" w:space="0"/>
            </w:tcBorders>
            <w:shd w:val="clear" w:color="000000" w:fill="A5A5A5"/>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序号</w:t>
            </w:r>
          </w:p>
        </w:tc>
        <w:tc>
          <w:tcPr>
            <w:tcW w:w="2835" w:type="dxa"/>
            <w:tcBorders>
              <w:top w:val="single" w:color="auto" w:sz="4" w:space="0"/>
              <w:left w:val="nil"/>
              <w:bottom w:val="single" w:color="auto" w:sz="4" w:space="0"/>
              <w:right w:val="single" w:color="auto" w:sz="4" w:space="0"/>
            </w:tcBorders>
            <w:shd w:val="clear" w:color="000000" w:fill="A5A5A5"/>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班级</w:t>
            </w:r>
          </w:p>
        </w:tc>
        <w:tc>
          <w:tcPr>
            <w:tcW w:w="1276" w:type="dxa"/>
            <w:tcBorders>
              <w:top w:val="single" w:color="auto" w:sz="4" w:space="0"/>
              <w:left w:val="nil"/>
              <w:bottom w:val="single" w:color="auto" w:sz="4" w:space="0"/>
              <w:right w:val="single" w:color="auto" w:sz="4" w:space="0"/>
            </w:tcBorders>
            <w:shd w:val="clear" w:color="000000" w:fill="A5A5A5"/>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到课率</w:t>
            </w:r>
          </w:p>
        </w:tc>
        <w:tc>
          <w:tcPr>
            <w:tcW w:w="2410" w:type="dxa"/>
            <w:tcBorders>
              <w:top w:val="single" w:color="auto" w:sz="4" w:space="0"/>
              <w:left w:val="nil"/>
              <w:bottom w:val="single" w:color="auto" w:sz="4" w:space="0"/>
              <w:right w:val="single" w:color="auto" w:sz="4" w:space="0"/>
            </w:tcBorders>
            <w:shd w:val="clear" w:color="000000" w:fill="A5A5A5"/>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所属学院</w:t>
            </w:r>
          </w:p>
        </w:tc>
        <w:tc>
          <w:tcPr>
            <w:tcW w:w="1275" w:type="dxa"/>
            <w:gridSpan w:val="2"/>
            <w:tcBorders>
              <w:top w:val="single" w:color="auto" w:sz="4" w:space="0"/>
              <w:left w:val="nil"/>
              <w:bottom w:val="single" w:color="auto" w:sz="4" w:space="0"/>
              <w:right w:val="single" w:color="auto" w:sz="4" w:space="0"/>
            </w:tcBorders>
            <w:shd w:val="clear" w:color="000000" w:fill="A5A5A5"/>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备注</w:t>
            </w:r>
          </w:p>
        </w:tc>
      </w:tr>
      <w:tr>
        <w:tblPrEx>
          <w:tblLayout w:type="fixed"/>
          <w:tblCellMar>
            <w:top w:w="0" w:type="dxa"/>
            <w:left w:w="108" w:type="dxa"/>
            <w:bottom w:w="0" w:type="dxa"/>
            <w:right w:w="108" w:type="dxa"/>
          </w:tblCellMar>
        </w:tblPrEx>
        <w:trPr>
          <w:trHeight w:val="422"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16金融4+0本科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财务管理学院</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219"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17金融4+0本科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财务管理学院</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157"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18金融4+0本科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财务管理学院</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82"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17会计3+2本科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财务管理学院</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303"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18会计3+2本科1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财务管理学院</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375"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6</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17旅游管理本科2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旅游管理学院</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307"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7</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16物流管理本科1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工商管理学院</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375"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16物流管理本科2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工商管理学院</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375"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9</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17物流管理本科1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工商管理学院</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375"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17物流管理本科2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工商管理学院</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trHeight w:val="375"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11</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18物流管理本科2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工商管理学院</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Layout w:type="fixed"/>
          <w:tblCellMar>
            <w:top w:w="0" w:type="dxa"/>
            <w:left w:w="108" w:type="dxa"/>
            <w:bottom w:w="0" w:type="dxa"/>
            <w:right w:w="108" w:type="dxa"/>
          </w:tblCellMar>
        </w:tblPrEx>
        <w:trPr>
          <w:gridAfter w:val="1"/>
          <w:wAfter w:w="8" w:type="dxa"/>
          <w:trHeight w:val="375"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12</w:t>
            </w:r>
          </w:p>
        </w:tc>
        <w:tc>
          <w:tcPr>
            <w:tcW w:w="283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kern w:val="0"/>
                <w:sz w:val="24"/>
              </w:rPr>
            </w:pPr>
            <w:r>
              <w:rPr>
                <w:rFonts w:hint="eastAsia" w:ascii="仿宋" w:hAnsi="仿宋" w:eastAsia="仿宋"/>
                <w:color w:val="000000"/>
                <w:kern w:val="0"/>
                <w:sz w:val="24"/>
              </w:rPr>
              <w:t>17旅游管理本科1</w:t>
            </w:r>
          </w:p>
        </w:tc>
        <w:tc>
          <w:tcPr>
            <w:tcW w:w="127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olor w:val="000000"/>
                <w:kern w:val="0"/>
                <w:sz w:val="24"/>
              </w:rPr>
            </w:pPr>
            <w:r>
              <w:rPr>
                <w:rFonts w:hint="eastAsia" w:ascii="仿宋" w:hAnsi="仿宋" w:eastAsia="仿宋"/>
                <w:color w:val="000000"/>
                <w:kern w:val="0"/>
                <w:sz w:val="24"/>
              </w:rPr>
              <w:t xml:space="preserve">  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旅游管理学院</w:t>
            </w:r>
          </w:p>
        </w:tc>
        <w:tc>
          <w:tcPr>
            <w:tcW w:w="1267" w:type="dxa"/>
            <w:tcBorders>
              <w:top w:val="single" w:color="auto" w:sz="4" w:space="0"/>
              <w:bottom w:val="single" w:color="auto" w:sz="4" w:space="0"/>
              <w:right w:val="single" w:color="auto" w:sz="4" w:space="0"/>
            </w:tcBorders>
            <w:shd w:val="clear" w:color="auto" w:fill="auto"/>
          </w:tcPr>
          <w:p>
            <w:pPr>
              <w:widowControl/>
              <w:jc w:val="left"/>
              <w:rPr>
                <w:rFonts w:ascii="仿宋" w:hAnsi="仿宋" w:eastAsia="仿宋"/>
                <w:color w:val="000000"/>
                <w:kern w:val="0"/>
                <w:sz w:val="24"/>
              </w:rPr>
            </w:pPr>
          </w:p>
        </w:tc>
      </w:tr>
    </w:tbl>
    <w:p>
      <w:pPr>
        <w:spacing w:beforeLines="50"/>
        <w:ind w:firstLine="602" w:firstLineChars="200"/>
        <w:rPr>
          <w:rFonts w:ascii="仿宋" w:hAnsi="仿宋" w:eastAsia="仿宋" w:cs="仿宋"/>
          <w:b/>
          <w:bCs/>
          <w:sz w:val="30"/>
          <w:szCs w:val="30"/>
        </w:rPr>
      </w:pPr>
      <w:r>
        <w:rPr>
          <w:rFonts w:hint="eastAsia" w:ascii="仿宋" w:hAnsi="仿宋" w:eastAsia="仿宋" w:cs="仿宋"/>
          <w:b/>
          <w:bCs/>
          <w:sz w:val="30"/>
          <w:szCs w:val="30"/>
        </w:rPr>
        <w:t>（二）本次抽查结果显示：</w:t>
      </w:r>
    </w:p>
    <w:p>
      <w:pPr>
        <w:ind w:firstLine="560" w:firstLineChars="200"/>
        <w:rPr>
          <w:rFonts w:ascii="仿宋" w:hAnsi="仿宋" w:eastAsia="仿宋" w:cs="仿宋"/>
          <w:sz w:val="28"/>
          <w:szCs w:val="28"/>
        </w:rPr>
      </w:pPr>
      <w:r>
        <w:rPr>
          <w:rFonts w:hint="eastAsia" w:ascii="仿宋" w:hAnsi="仿宋" w:eastAsia="仿宋" w:cs="仿宋"/>
          <w:sz w:val="28"/>
          <w:szCs w:val="28"/>
        </w:rPr>
        <w:t>工程技术学院班级学生平均到课率为99.22%，夺得全校排名第一。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人文艺术学院班级学生平均到课率为93.33%，继续全校排名第六。</w:t>
      </w:r>
    </w:p>
    <w:p>
      <w:pPr>
        <w:ind w:firstLine="560" w:firstLineChars="200"/>
        <w:rPr>
          <w:rFonts w:hint="eastAsia" w:ascii="仿宋" w:hAnsi="仿宋" w:eastAsia="仿宋" w:cs="仿宋"/>
          <w:sz w:val="28"/>
          <w:szCs w:val="28"/>
        </w:rPr>
      </w:pPr>
    </w:p>
    <w:p>
      <w:pPr>
        <w:ind w:firstLine="600" w:firstLineChars="200"/>
        <w:rPr>
          <w:rFonts w:ascii="黑体" w:hAnsi="黑体" w:eastAsia="黑体" w:cs="黑体"/>
          <w:sz w:val="30"/>
          <w:szCs w:val="30"/>
        </w:rPr>
      </w:pPr>
      <w:r>
        <w:rPr>
          <w:rFonts w:hint="eastAsia" w:ascii="黑体" w:hAnsi="黑体" w:eastAsia="黑体" w:cs="黑体"/>
          <w:sz w:val="30"/>
          <w:szCs w:val="30"/>
        </w:rPr>
        <w:t>二、数据对比</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（一）本次抽查结果显示：</w:t>
      </w:r>
    </w:p>
    <w:p>
      <w:pPr>
        <w:ind w:firstLine="560" w:firstLineChars="200"/>
        <w:rPr>
          <w:rFonts w:ascii="仿宋" w:hAnsi="仿宋" w:eastAsia="仿宋" w:cs="仿宋"/>
          <w:sz w:val="28"/>
          <w:szCs w:val="28"/>
        </w:rPr>
      </w:pPr>
      <w:r>
        <w:rPr>
          <w:rFonts w:hint="eastAsia" w:ascii="仿宋" w:hAnsi="仿宋" w:eastAsia="仿宋" w:cs="仿宋"/>
          <w:sz w:val="28"/>
          <w:szCs w:val="28"/>
        </w:rPr>
        <w:t>1.我校第2周班级学生平均到课率为96.92；上学期同期是97.40，略有下降；去年同期是93.55%，提高很大。</w:t>
      </w:r>
    </w:p>
    <w:p>
      <w:pPr>
        <w:ind w:firstLine="560" w:firstLineChars="200"/>
        <w:rPr>
          <w:rFonts w:ascii="仿宋" w:hAnsi="仿宋" w:eastAsia="仿宋" w:cs="仿宋"/>
          <w:color w:val="C00000"/>
          <w:sz w:val="28"/>
          <w:szCs w:val="28"/>
        </w:rPr>
      </w:pPr>
      <w:r>
        <w:rPr>
          <w:rFonts w:hint="eastAsia" w:ascii="仿宋" w:hAnsi="仿宋" w:eastAsia="仿宋" w:cs="仿宋"/>
          <w:sz w:val="28"/>
          <w:szCs w:val="28"/>
        </w:rPr>
        <w:t>2.本次班级学生到课率低于80%的班级有1个；上学期同期低于80%的班级也只有1个；</w:t>
      </w:r>
      <w:r>
        <w:rPr>
          <w:rFonts w:hint="eastAsia" w:ascii="仿宋" w:hAnsi="仿宋" w:eastAsia="仿宋" w:cs="仿宋"/>
          <w:color w:val="000000" w:themeColor="text1"/>
          <w:sz w:val="28"/>
          <w:szCs w:val="28"/>
          <w14:textFill>
            <w14:solidFill>
              <w14:schemeClr w14:val="tx1"/>
            </w14:solidFill>
          </w14:textFill>
        </w:rPr>
        <w:t>去年同期低于80%的班级有9个</w:t>
      </w:r>
      <w:r>
        <w:rPr>
          <w:rFonts w:hint="eastAsia" w:ascii="仿宋" w:hAnsi="仿宋" w:eastAsia="仿宋" w:cs="仿宋"/>
          <w:sz w:val="28"/>
          <w:szCs w:val="28"/>
        </w:rPr>
        <w:t>,与上学期持平，但明显好于去年同期。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3.班级学生到课率100%的班级有70个，占总数的55%；上学期同期班级学生到课率100%的班级有82个，占总数的50%；去年同期有49个，占总数的34%；与去年同期比，提高很大，与上学期比，提升幅度较大。</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（二）各二级学院到课率100%班级比例</w:t>
      </w:r>
    </w:p>
    <w:tbl>
      <w:tblPr>
        <w:tblStyle w:val="5"/>
        <w:tblpPr w:leftFromText="180" w:rightFromText="180" w:vertAnchor="text" w:horzAnchor="margin" w:tblpXSpec="center" w:tblpY="67"/>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2148"/>
        <w:gridCol w:w="1760"/>
        <w:gridCol w:w="1677"/>
        <w:gridCol w:w="1718"/>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59"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序号</w:t>
            </w:r>
          </w:p>
        </w:tc>
        <w:tc>
          <w:tcPr>
            <w:tcW w:w="2148"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学院</w:t>
            </w:r>
          </w:p>
        </w:tc>
        <w:tc>
          <w:tcPr>
            <w:tcW w:w="1760"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班级总数</w:t>
            </w:r>
          </w:p>
        </w:tc>
        <w:tc>
          <w:tcPr>
            <w:tcW w:w="1677"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100%班级数</w:t>
            </w:r>
          </w:p>
        </w:tc>
        <w:tc>
          <w:tcPr>
            <w:tcW w:w="1718"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占总数比例%</w:t>
            </w:r>
          </w:p>
        </w:tc>
        <w:tc>
          <w:tcPr>
            <w:tcW w:w="910"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859" w:type="dxa"/>
            <w:vAlign w:val="center"/>
          </w:tcPr>
          <w:p>
            <w:pPr>
              <w:jc w:val="center"/>
              <w:rPr>
                <w:rFonts w:ascii="仿宋" w:hAnsi="仿宋" w:eastAsia="仿宋" w:cs="仿宋"/>
                <w:sz w:val="24"/>
              </w:rPr>
            </w:pPr>
            <w:r>
              <w:rPr>
                <w:rFonts w:hint="eastAsia" w:ascii="仿宋" w:hAnsi="仿宋" w:eastAsia="仿宋" w:cs="仿宋"/>
                <w:sz w:val="24"/>
              </w:rPr>
              <w:t>1</w:t>
            </w:r>
          </w:p>
        </w:tc>
        <w:tc>
          <w:tcPr>
            <w:tcW w:w="2148" w:type="dxa"/>
            <w:vAlign w:val="center"/>
          </w:tcPr>
          <w:p>
            <w:pPr>
              <w:jc w:val="center"/>
              <w:rPr>
                <w:rFonts w:ascii="仿宋" w:hAnsi="仿宋" w:eastAsia="仿宋" w:cs="仿宋"/>
                <w:sz w:val="24"/>
              </w:rPr>
            </w:pPr>
            <w:r>
              <w:rPr>
                <w:rFonts w:hint="eastAsia" w:ascii="仿宋" w:hAnsi="仿宋" w:eastAsia="仿宋" w:cs="仿宋"/>
                <w:sz w:val="24"/>
              </w:rPr>
              <w:t>工程技术学院</w:t>
            </w:r>
          </w:p>
        </w:tc>
        <w:tc>
          <w:tcPr>
            <w:tcW w:w="1760" w:type="dxa"/>
            <w:vAlign w:val="center"/>
          </w:tcPr>
          <w:p>
            <w:pPr>
              <w:jc w:val="center"/>
              <w:rPr>
                <w:rFonts w:ascii="仿宋" w:hAnsi="仿宋" w:eastAsia="仿宋" w:cs="仿宋"/>
                <w:sz w:val="24"/>
              </w:rPr>
            </w:pPr>
            <w:r>
              <w:rPr>
                <w:rFonts w:hint="eastAsia" w:ascii="仿宋" w:hAnsi="仿宋" w:eastAsia="仿宋" w:cs="仿宋"/>
                <w:sz w:val="24"/>
              </w:rPr>
              <w:t>13</w:t>
            </w:r>
          </w:p>
        </w:tc>
        <w:tc>
          <w:tcPr>
            <w:tcW w:w="1677" w:type="dxa"/>
            <w:vAlign w:val="center"/>
          </w:tcPr>
          <w:p>
            <w:pPr>
              <w:jc w:val="center"/>
              <w:rPr>
                <w:rFonts w:ascii="仿宋" w:hAnsi="仿宋" w:eastAsia="仿宋" w:cs="仿宋"/>
                <w:sz w:val="24"/>
              </w:rPr>
            </w:pPr>
            <w:r>
              <w:rPr>
                <w:rFonts w:hint="eastAsia" w:ascii="仿宋" w:hAnsi="仿宋" w:eastAsia="仿宋" w:cs="仿宋"/>
                <w:sz w:val="24"/>
              </w:rPr>
              <w:t>12</w:t>
            </w:r>
          </w:p>
        </w:tc>
        <w:tc>
          <w:tcPr>
            <w:tcW w:w="1718" w:type="dxa"/>
            <w:vAlign w:val="center"/>
          </w:tcPr>
          <w:p>
            <w:pPr>
              <w:jc w:val="center"/>
              <w:rPr>
                <w:rFonts w:ascii="仿宋" w:hAnsi="仿宋" w:eastAsia="仿宋" w:cs="仿宋"/>
                <w:sz w:val="24"/>
              </w:rPr>
            </w:pPr>
            <w:r>
              <w:rPr>
                <w:rFonts w:hint="eastAsia" w:ascii="仿宋" w:hAnsi="仿宋" w:eastAsia="仿宋" w:cs="仿宋"/>
                <w:sz w:val="24"/>
              </w:rPr>
              <w:t>92.31%</w:t>
            </w:r>
          </w:p>
        </w:tc>
        <w:tc>
          <w:tcPr>
            <w:tcW w:w="910"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9" w:type="dxa"/>
            <w:vAlign w:val="center"/>
          </w:tcPr>
          <w:p>
            <w:pPr>
              <w:jc w:val="center"/>
              <w:rPr>
                <w:rFonts w:ascii="仿宋" w:hAnsi="仿宋" w:eastAsia="仿宋" w:cs="仿宋"/>
                <w:sz w:val="24"/>
              </w:rPr>
            </w:pPr>
            <w:r>
              <w:rPr>
                <w:rFonts w:hint="eastAsia" w:ascii="仿宋" w:hAnsi="仿宋" w:eastAsia="仿宋" w:cs="仿宋"/>
                <w:sz w:val="24"/>
              </w:rPr>
              <w:t>2</w:t>
            </w:r>
          </w:p>
        </w:tc>
        <w:tc>
          <w:tcPr>
            <w:tcW w:w="2148" w:type="dxa"/>
            <w:vAlign w:val="center"/>
          </w:tcPr>
          <w:p>
            <w:pPr>
              <w:jc w:val="center"/>
              <w:rPr>
                <w:rFonts w:ascii="仿宋" w:hAnsi="仿宋" w:eastAsia="仿宋" w:cs="仿宋"/>
                <w:sz w:val="24"/>
              </w:rPr>
            </w:pPr>
            <w:r>
              <w:rPr>
                <w:rFonts w:hint="eastAsia" w:ascii="仿宋" w:hAnsi="仿宋" w:eastAsia="仿宋" w:cs="仿宋"/>
                <w:sz w:val="24"/>
              </w:rPr>
              <w:t>旅游管理学院</w:t>
            </w:r>
          </w:p>
        </w:tc>
        <w:tc>
          <w:tcPr>
            <w:tcW w:w="1760" w:type="dxa"/>
            <w:vAlign w:val="center"/>
          </w:tcPr>
          <w:p>
            <w:pPr>
              <w:jc w:val="center"/>
              <w:rPr>
                <w:rFonts w:ascii="仿宋" w:hAnsi="仿宋" w:eastAsia="仿宋" w:cs="仿宋"/>
                <w:sz w:val="24"/>
              </w:rPr>
            </w:pPr>
            <w:r>
              <w:rPr>
                <w:rFonts w:hint="eastAsia" w:ascii="仿宋" w:hAnsi="仿宋" w:eastAsia="仿宋" w:cs="仿宋"/>
                <w:sz w:val="24"/>
              </w:rPr>
              <w:t>12</w:t>
            </w:r>
          </w:p>
        </w:tc>
        <w:tc>
          <w:tcPr>
            <w:tcW w:w="1677" w:type="dxa"/>
            <w:vAlign w:val="center"/>
          </w:tcPr>
          <w:p>
            <w:pPr>
              <w:jc w:val="center"/>
              <w:rPr>
                <w:rFonts w:ascii="仿宋" w:hAnsi="仿宋" w:eastAsia="仿宋" w:cs="仿宋"/>
                <w:sz w:val="24"/>
              </w:rPr>
            </w:pPr>
            <w:r>
              <w:rPr>
                <w:rFonts w:hint="eastAsia" w:ascii="仿宋" w:hAnsi="仿宋" w:eastAsia="仿宋" w:cs="仿宋"/>
                <w:sz w:val="24"/>
              </w:rPr>
              <w:t>10</w:t>
            </w:r>
          </w:p>
        </w:tc>
        <w:tc>
          <w:tcPr>
            <w:tcW w:w="1718" w:type="dxa"/>
            <w:vAlign w:val="center"/>
          </w:tcPr>
          <w:p>
            <w:pPr>
              <w:jc w:val="center"/>
              <w:rPr>
                <w:rFonts w:ascii="仿宋" w:hAnsi="仿宋" w:eastAsia="仿宋" w:cs="仿宋"/>
                <w:sz w:val="24"/>
              </w:rPr>
            </w:pPr>
            <w:r>
              <w:rPr>
                <w:rFonts w:hint="eastAsia" w:ascii="仿宋" w:hAnsi="仿宋" w:eastAsia="仿宋" w:cs="仿宋"/>
                <w:sz w:val="24"/>
              </w:rPr>
              <w:t>83.33%</w:t>
            </w:r>
          </w:p>
        </w:tc>
        <w:tc>
          <w:tcPr>
            <w:tcW w:w="910"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9" w:type="dxa"/>
            <w:vAlign w:val="center"/>
          </w:tcPr>
          <w:p>
            <w:pPr>
              <w:jc w:val="center"/>
              <w:rPr>
                <w:rFonts w:ascii="仿宋" w:hAnsi="仿宋" w:eastAsia="仿宋" w:cs="仿宋"/>
                <w:sz w:val="24"/>
              </w:rPr>
            </w:pPr>
            <w:r>
              <w:rPr>
                <w:rFonts w:hint="eastAsia" w:ascii="仿宋" w:hAnsi="仿宋" w:eastAsia="仿宋" w:cs="仿宋"/>
                <w:sz w:val="24"/>
              </w:rPr>
              <w:t>3</w:t>
            </w:r>
          </w:p>
        </w:tc>
        <w:tc>
          <w:tcPr>
            <w:tcW w:w="2148" w:type="dxa"/>
            <w:vAlign w:val="center"/>
          </w:tcPr>
          <w:p>
            <w:pPr>
              <w:jc w:val="center"/>
              <w:rPr>
                <w:rFonts w:ascii="仿宋" w:hAnsi="仿宋" w:eastAsia="仿宋" w:cs="仿宋"/>
                <w:sz w:val="24"/>
              </w:rPr>
            </w:pPr>
            <w:r>
              <w:rPr>
                <w:rFonts w:hint="eastAsia" w:ascii="仿宋" w:hAnsi="仿宋" w:eastAsia="仿宋" w:cs="仿宋"/>
                <w:sz w:val="24"/>
              </w:rPr>
              <w:t>财务管理学院</w:t>
            </w:r>
          </w:p>
        </w:tc>
        <w:tc>
          <w:tcPr>
            <w:tcW w:w="1760" w:type="dxa"/>
            <w:vAlign w:val="center"/>
          </w:tcPr>
          <w:p>
            <w:pPr>
              <w:jc w:val="center"/>
              <w:rPr>
                <w:rFonts w:ascii="仿宋" w:hAnsi="仿宋" w:eastAsia="仿宋" w:cs="仿宋"/>
                <w:sz w:val="24"/>
              </w:rPr>
            </w:pPr>
            <w:r>
              <w:rPr>
                <w:rFonts w:hint="eastAsia" w:ascii="仿宋" w:hAnsi="仿宋" w:eastAsia="仿宋" w:cs="仿宋"/>
                <w:sz w:val="24"/>
              </w:rPr>
              <w:t>50</w:t>
            </w:r>
          </w:p>
        </w:tc>
        <w:tc>
          <w:tcPr>
            <w:tcW w:w="1677" w:type="dxa"/>
            <w:vAlign w:val="center"/>
          </w:tcPr>
          <w:p>
            <w:pPr>
              <w:jc w:val="center"/>
              <w:rPr>
                <w:rFonts w:ascii="仿宋" w:hAnsi="仿宋" w:eastAsia="仿宋" w:cs="仿宋"/>
                <w:sz w:val="24"/>
              </w:rPr>
            </w:pPr>
            <w:r>
              <w:rPr>
                <w:rFonts w:hint="eastAsia" w:ascii="仿宋" w:hAnsi="仿宋" w:eastAsia="仿宋" w:cs="仿宋"/>
                <w:sz w:val="24"/>
              </w:rPr>
              <w:t>33</w:t>
            </w:r>
          </w:p>
        </w:tc>
        <w:tc>
          <w:tcPr>
            <w:tcW w:w="1718" w:type="dxa"/>
            <w:vAlign w:val="center"/>
          </w:tcPr>
          <w:p>
            <w:pPr>
              <w:jc w:val="center"/>
              <w:rPr>
                <w:rFonts w:ascii="仿宋" w:hAnsi="仿宋" w:eastAsia="仿宋" w:cs="仿宋"/>
                <w:sz w:val="24"/>
              </w:rPr>
            </w:pPr>
            <w:r>
              <w:rPr>
                <w:rFonts w:hint="eastAsia" w:ascii="仿宋" w:hAnsi="仿宋" w:eastAsia="仿宋" w:cs="仿宋"/>
                <w:sz w:val="24"/>
              </w:rPr>
              <w:t>66.00%</w:t>
            </w:r>
          </w:p>
        </w:tc>
        <w:tc>
          <w:tcPr>
            <w:tcW w:w="910"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9" w:type="dxa"/>
            <w:vAlign w:val="center"/>
          </w:tcPr>
          <w:p>
            <w:pPr>
              <w:jc w:val="center"/>
              <w:rPr>
                <w:rFonts w:ascii="仿宋" w:hAnsi="仿宋" w:eastAsia="仿宋" w:cs="仿宋"/>
                <w:sz w:val="24"/>
              </w:rPr>
            </w:pPr>
            <w:r>
              <w:rPr>
                <w:rFonts w:hint="eastAsia" w:ascii="仿宋" w:hAnsi="仿宋" w:eastAsia="仿宋" w:cs="仿宋"/>
                <w:sz w:val="24"/>
              </w:rPr>
              <w:t>4</w:t>
            </w:r>
          </w:p>
        </w:tc>
        <w:tc>
          <w:tcPr>
            <w:tcW w:w="2148" w:type="dxa"/>
            <w:vAlign w:val="center"/>
          </w:tcPr>
          <w:p>
            <w:pPr>
              <w:jc w:val="center"/>
              <w:rPr>
                <w:rFonts w:ascii="仿宋" w:hAnsi="仿宋" w:eastAsia="仿宋" w:cs="仿宋"/>
                <w:sz w:val="24"/>
              </w:rPr>
            </w:pPr>
            <w:r>
              <w:rPr>
                <w:rFonts w:hint="eastAsia" w:ascii="仿宋" w:hAnsi="仿宋" w:eastAsia="仿宋" w:cs="仿宋"/>
                <w:sz w:val="24"/>
              </w:rPr>
              <w:t>国际教育学院</w:t>
            </w:r>
          </w:p>
        </w:tc>
        <w:tc>
          <w:tcPr>
            <w:tcW w:w="1760" w:type="dxa"/>
            <w:vAlign w:val="center"/>
          </w:tcPr>
          <w:p>
            <w:pPr>
              <w:jc w:val="center"/>
              <w:rPr>
                <w:rFonts w:ascii="仿宋" w:hAnsi="仿宋" w:eastAsia="仿宋" w:cs="仿宋"/>
                <w:sz w:val="24"/>
              </w:rPr>
            </w:pPr>
            <w:r>
              <w:rPr>
                <w:rFonts w:hint="eastAsia" w:ascii="仿宋" w:hAnsi="仿宋" w:eastAsia="仿宋" w:cs="仿宋"/>
                <w:sz w:val="24"/>
              </w:rPr>
              <w:t>9</w:t>
            </w:r>
          </w:p>
        </w:tc>
        <w:tc>
          <w:tcPr>
            <w:tcW w:w="1677" w:type="dxa"/>
            <w:vAlign w:val="center"/>
          </w:tcPr>
          <w:p>
            <w:pPr>
              <w:jc w:val="center"/>
              <w:rPr>
                <w:rFonts w:ascii="仿宋" w:hAnsi="仿宋" w:eastAsia="仿宋" w:cs="仿宋"/>
                <w:sz w:val="24"/>
              </w:rPr>
            </w:pPr>
            <w:r>
              <w:rPr>
                <w:rFonts w:hint="eastAsia" w:ascii="仿宋" w:hAnsi="仿宋" w:eastAsia="仿宋" w:cs="仿宋"/>
                <w:sz w:val="24"/>
              </w:rPr>
              <w:t>5</w:t>
            </w:r>
          </w:p>
        </w:tc>
        <w:tc>
          <w:tcPr>
            <w:tcW w:w="1718" w:type="dxa"/>
            <w:vAlign w:val="center"/>
          </w:tcPr>
          <w:p>
            <w:pPr>
              <w:jc w:val="center"/>
              <w:rPr>
                <w:rFonts w:ascii="仿宋" w:hAnsi="仿宋" w:eastAsia="仿宋" w:cs="仿宋"/>
                <w:sz w:val="24"/>
              </w:rPr>
            </w:pPr>
            <w:r>
              <w:rPr>
                <w:rFonts w:hint="eastAsia" w:ascii="仿宋" w:hAnsi="仿宋" w:eastAsia="仿宋" w:cs="仿宋"/>
                <w:sz w:val="24"/>
              </w:rPr>
              <w:t>55.56%</w:t>
            </w:r>
          </w:p>
        </w:tc>
        <w:tc>
          <w:tcPr>
            <w:tcW w:w="910"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9" w:type="dxa"/>
            <w:vAlign w:val="center"/>
          </w:tcPr>
          <w:p>
            <w:pPr>
              <w:jc w:val="center"/>
              <w:rPr>
                <w:rFonts w:ascii="仿宋" w:hAnsi="仿宋" w:eastAsia="仿宋" w:cs="仿宋"/>
                <w:sz w:val="24"/>
              </w:rPr>
            </w:pPr>
            <w:r>
              <w:rPr>
                <w:rFonts w:hint="eastAsia" w:ascii="仿宋" w:hAnsi="仿宋" w:eastAsia="仿宋" w:cs="仿宋"/>
                <w:sz w:val="24"/>
              </w:rPr>
              <w:t>5</w:t>
            </w:r>
          </w:p>
        </w:tc>
        <w:tc>
          <w:tcPr>
            <w:tcW w:w="2148" w:type="dxa"/>
            <w:vAlign w:val="center"/>
          </w:tcPr>
          <w:p>
            <w:pPr>
              <w:jc w:val="center"/>
              <w:rPr>
                <w:rFonts w:ascii="仿宋" w:hAnsi="仿宋" w:eastAsia="仿宋" w:cs="仿宋"/>
                <w:sz w:val="24"/>
              </w:rPr>
            </w:pPr>
            <w:r>
              <w:rPr>
                <w:rFonts w:hint="eastAsia" w:ascii="仿宋" w:hAnsi="仿宋" w:eastAsia="仿宋" w:cs="仿宋"/>
                <w:sz w:val="24"/>
              </w:rPr>
              <w:t>人文艺术学院</w:t>
            </w:r>
          </w:p>
        </w:tc>
        <w:tc>
          <w:tcPr>
            <w:tcW w:w="1760" w:type="dxa"/>
            <w:vAlign w:val="center"/>
          </w:tcPr>
          <w:p>
            <w:pPr>
              <w:jc w:val="center"/>
              <w:rPr>
                <w:rFonts w:ascii="仿宋" w:hAnsi="仿宋" w:eastAsia="仿宋" w:cs="仿宋"/>
                <w:sz w:val="24"/>
              </w:rPr>
            </w:pPr>
            <w:r>
              <w:rPr>
                <w:rFonts w:hint="eastAsia" w:ascii="仿宋" w:hAnsi="仿宋" w:eastAsia="仿宋" w:cs="仿宋"/>
                <w:sz w:val="24"/>
              </w:rPr>
              <w:t>11</w:t>
            </w:r>
          </w:p>
        </w:tc>
        <w:tc>
          <w:tcPr>
            <w:tcW w:w="1677" w:type="dxa"/>
            <w:vAlign w:val="center"/>
          </w:tcPr>
          <w:p>
            <w:pPr>
              <w:jc w:val="center"/>
              <w:rPr>
                <w:rFonts w:ascii="仿宋" w:hAnsi="仿宋" w:eastAsia="仿宋" w:cs="仿宋"/>
                <w:sz w:val="24"/>
              </w:rPr>
            </w:pPr>
            <w:r>
              <w:rPr>
                <w:rFonts w:hint="eastAsia" w:ascii="仿宋" w:hAnsi="仿宋" w:eastAsia="仿宋" w:cs="仿宋"/>
                <w:sz w:val="24"/>
              </w:rPr>
              <w:t>3</w:t>
            </w:r>
          </w:p>
        </w:tc>
        <w:tc>
          <w:tcPr>
            <w:tcW w:w="1718" w:type="dxa"/>
            <w:vAlign w:val="center"/>
          </w:tcPr>
          <w:p>
            <w:pPr>
              <w:jc w:val="center"/>
              <w:rPr>
                <w:rFonts w:ascii="仿宋" w:hAnsi="仿宋" w:eastAsia="仿宋" w:cs="仿宋"/>
                <w:sz w:val="24"/>
              </w:rPr>
            </w:pPr>
            <w:r>
              <w:rPr>
                <w:rFonts w:hint="eastAsia" w:ascii="仿宋" w:hAnsi="仿宋" w:eastAsia="仿宋" w:cs="仿宋"/>
                <w:sz w:val="24"/>
              </w:rPr>
              <w:t>27.27</w:t>
            </w:r>
          </w:p>
        </w:tc>
        <w:tc>
          <w:tcPr>
            <w:tcW w:w="910"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trPr>
        <w:tc>
          <w:tcPr>
            <w:tcW w:w="859" w:type="dxa"/>
            <w:vAlign w:val="center"/>
          </w:tcPr>
          <w:p>
            <w:pPr>
              <w:jc w:val="center"/>
              <w:rPr>
                <w:rFonts w:ascii="仿宋" w:hAnsi="仿宋" w:eastAsia="仿宋" w:cs="仿宋"/>
                <w:sz w:val="24"/>
              </w:rPr>
            </w:pPr>
            <w:r>
              <w:rPr>
                <w:rFonts w:hint="eastAsia" w:ascii="仿宋" w:hAnsi="仿宋" w:eastAsia="仿宋" w:cs="仿宋"/>
                <w:sz w:val="24"/>
              </w:rPr>
              <w:t>6</w:t>
            </w:r>
          </w:p>
        </w:tc>
        <w:tc>
          <w:tcPr>
            <w:tcW w:w="2148" w:type="dxa"/>
            <w:vAlign w:val="center"/>
          </w:tcPr>
          <w:p>
            <w:pPr>
              <w:ind w:firstLine="240" w:firstLineChars="100"/>
            </w:pPr>
            <w:r>
              <w:rPr>
                <w:rFonts w:hint="eastAsia" w:ascii="仿宋" w:hAnsi="仿宋" w:eastAsia="仿宋" w:cs="仿宋"/>
                <w:sz w:val="24"/>
              </w:rPr>
              <w:t>工商管理学院</w:t>
            </w:r>
          </w:p>
        </w:tc>
        <w:tc>
          <w:tcPr>
            <w:tcW w:w="1760" w:type="dxa"/>
            <w:vAlign w:val="center"/>
          </w:tcPr>
          <w:p>
            <w:pPr>
              <w:jc w:val="center"/>
              <w:rPr>
                <w:rFonts w:ascii="仿宋" w:hAnsi="仿宋" w:eastAsia="仿宋" w:cs="仿宋"/>
                <w:sz w:val="24"/>
              </w:rPr>
            </w:pPr>
            <w:r>
              <w:rPr>
                <w:rFonts w:hint="eastAsia" w:ascii="仿宋" w:hAnsi="仿宋" w:eastAsia="仿宋" w:cs="仿宋"/>
                <w:sz w:val="24"/>
              </w:rPr>
              <w:t>33</w:t>
            </w:r>
          </w:p>
        </w:tc>
        <w:tc>
          <w:tcPr>
            <w:tcW w:w="1677" w:type="dxa"/>
            <w:vAlign w:val="center"/>
          </w:tcPr>
          <w:p>
            <w:pPr>
              <w:jc w:val="center"/>
              <w:rPr>
                <w:rFonts w:ascii="仿宋" w:hAnsi="仿宋" w:eastAsia="仿宋" w:cs="仿宋"/>
                <w:sz w:val="24"/>
              </w:rPr>
            </w:pPr>
            <w:r>
              <w:rPr>
                <w:rFonts w:hint="eastAsia" w:ascii="仿宋" w:hAnsi="仿宋" w:eastAsia="仿宋" w:cs="仿宋"/>
                <w:sz w:val="24"/>
              </w:rPr>
              <w:t>8</w:t>
            </w:r>
          </w:p>
        </w:tc>
        <w:tc>
          <w:tcPr>
            <w:tcW w:w="1718" w:type="dxa"/>
            <w:vAlign w:val="center"/>
          </w:tcPr>
          <w:p>
            <w:pPr>
              <w:jc w:val="center"/>
              <w:rPr>
                <w:rFonts w:ascii="仿宋" w:hAnsi="仿宋" w:eastAsia="仿宋" w:cs="仿宋"/>
                <w:sz w:val="24"/>
              </w:rPr>
            </w:pPr>
            <w:r>
              <w:rPr>
                <w:rFonts w:hint="eastAsia" w:ascii="仿宋" w:hAnsi="仿宋" w:eastAsia="仿宋" w:cs="仿宋"/>
                <w:sz w:val="24"/>
              </w:rPr>
              <w:t>24.24</w:t>
            </w:r>
          </w:p>
        </w:tc>
        <w:tc>
          <w:tcPr>
            <w:tcW w:w="910" w:type="dxa"/>
            <w:vAlign w:val="center"/>
          </w:tcPr>
          <w:p>
            <w:pPr>
              <w:jc w:val="center"/>
              <w:rPr>
                <w:rFonts w:ascii="仿宋" w:hAnsi="仿宋" w:eastAsia="仿宋" w:cs="仿宋"/>
                <w:sz w:val="24"/>
              </w:rPr>
            </w:pPr>
          </w:p>
        </w:tc>
      </w:tr>
    </w:tbl>
    <w:p>
      <w:pPr>
        <w:spacing w:beforeLines="100" w:afterLines="50"/>
        <w:ind w:firstLine="600" w:firstLineChars="200"/>
        <w:rPr>
          <w:rFonts w:ascii="黑体" w:hAnsi="黑体" w:eastAsia="黑体" w:cs="黑体"/>
          <w:sz w:val="30"/>
          <w:szCs w:val="30"/>
        </w:rPr>
      </w:pPr>
      <w:r>
        <w:rPr>
          <w:rFonts w:hint="eastAsia" w:ascii="黑体" w:hAnsi="黑体" w:eastAsia="黑体" w:cs="黑体"/>
          <w:sz w:val="30"/>
          <w:szCs w:val="30"/>
        </w:rPr>
        <w:t>三、问题与建议</w:t>
      </w:r>
    </w:p>
    <w:p>
      <w:pPr>
        <w:ind w:firstLine="602" w:firstLineChars="200"/>
        <w:rPr>
          <w:rFonts w:ascii="仿宋" w:hAnsi="仿宋" w:eastAsia="仿宋" w:cs="仿宋"/>
          <w:b/>
          <w:bCs/>
          <w:sz w:val="30"/>
          <w:szCs w:val="30"/>
        </w:rPr>
      </w:pPr>
      <w:r>
        <w:rPr>
          <w:rFonts w:hint="eastAsia" w:ascii="仿宋" w:hAnsi="仿宋" w:eastAsia="仿宋" w:cs="仿宋"/>
          <w:b/>
          <w:bCs/>
          <w:sz w:val="30"/>
          <w:szCs w:val="30"/>
        </w:rPr>
        <w:t>（一）问题</w:t>
      </w:r>
    </w:p>
    <w:p>
      <w:pPr>
        <w:ind w:firstLine="560" w:firstLineChars="200"/>
        <w:rPr>
          <w:rFonts w:ascii="仿宋" w:hAnsi="仿宋" w:eastAsia="仿宋" w:cs="仿宋"/>
          <w:sz w:val="28"/>
          <w:szCs w:val="28"/>
        </w:rPr>
      </w:pPr>
      <w:r>
        <w:rPr>
          <w:rFonts w:hint="eastAsia" w:ascii="仿宋" w:hAnsi="仿宋" w:eastAsia="仿宋" w:cs="仿宋"/>
          <w:sz w:val="28"/>
          <w:szCs w:val="28"/>
        </w:rPr>
        <w:t>1.工商管理学院、人文艺术学院等2个学院，连续四个学期的第2周班级学生平均到课率均低于全校平均到课率。</w:t>
      </w:r>
    </w:p>
    <w:p>
      <w:pPr>
        <w:ind w:firstLine="560" w:firstLineChars="200"/>
        <w:rPr>
          <w:rFonts w:ascii="仿宋" w:hAnsi="仿宋" w:eastAsia="仿宋" w:cs="仿宋"/>
          <w:sz w:val="28"/>
          <w:szCs w:val="28"/>
        </w:rPr>
      </w:pPr>
      <w:r>
        <w:rPr>
          <w:rFonts w:hint="eastAsia" w:ascii="仿宋" w:hAnsi="仿宋" w:eastAsia="仿宋" w:cs="仿宋"/>
          <w:sz w:val="28"/>
          <w:szCs w:val="28"/>
        </w:rPr>
        <w:t>2.国际教育学院第2周班级学生平均到课率连续两个学期圴低于全校平均到课率。</w:t>
      </w:r>
    </w:p>
    <w:p>
      <w:pPr>
        <w:spacing w:afterLines="50"/>
        <w:ind w:firstLine="560" w:firstLineChars="200"/>
        <w:rPr>
          <w:rFonts w:hint="eastAsia" w:ascii="仿宋" w:hAnsi="仿宋" w:eastAsia="仿宋" w:cs="仿宋"/>
          <w:sz w:val="28"/>
          <w:szCs w:val="28"/>
        </w:rPr>
      </w:pPr>
      <w:r>
        <w:rPr>
          <w:rFonts w:hint="eastAsia" w:ascii="仿宋" w:hAnsi="仿宋" w:eastAsia="仿宋" w:cs="仿宋"/>
          <w:sz w:val="28"/>
          <w:szCs w:val="28"/>
        </w:rPr>
        <w:t>3.各二级学院第2周班级学生平均到课率最低的班级名单：</w:t>
      </w:r>
    </w:p>
    <w:p>
      <w:pPr>
        <w:spacing w:afterLines="50"/>
        <w:ind w:firstLine="560" w:firstLineChars="200"/>
        <w:rPr>
          <w:rFonts w:hint="eastAsia" w:ascii="仿宋" w:hAnsi="仿宋" w:eastAsia="仿宋" w:cs="仿宋"/>
          <w:sz w:val="28"/>
          <w:szCs w:val="28"/>
        </w:rPr>
      </w:pPr>
    </w:p>
    <w:tbl>
      <w:tblPr>
        <w:tblStyle w:val="5"/>
        <w:tblpPr w:leftFromText="180" w:rightFromText="180" w:vertAnchor="text" w:horzAnchor="margin" w:tblpXSpec="center" w:tblpY="67"/>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8"/>
        <w:gridCol w:w="2297"/>
        <w:gridCol w:w="2472"/>
        <w:gridCol w:w="2297"/>
        <w:gridCol w:w="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18"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序号</w:t>
            </w:r>
          </w:p>
        </w:tc>
        <w:tc>
          <w:tcPr>
            <w:tcW w:w="2297"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学院</w:t>
            </w:r>
          </w:p>
        </w:tc>
        <w:tc>
          <w:tcPr>
            <w:tcW w:w="2472"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班级</w:t>
            </w:r>
          </w:p>
        </w:tc>
        <w:tc>
          <w:tcPr>
            <w:tcW w:w="2297"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平均到课率（%）</w:t>
            </w:r>
          </w:p>
        </w:tc>
        <w:tc>
          <w:tcPr>
            <w:tcW w:w="988"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018" w:type="dxa"/>
            <w:vAlign w:val="center"/>
          </w:tcPr>
          <w:p>
            <w:pPr>
              <w:jc w:val="center"/>
              <w:rPr>
                <w:rFonts w:ascii="仿宋" w:hAnsi="仿宋" w:eastAsia="仿宋" w:cs="仿宋"/>
                <w:sz w:val="24"/>
              </w:rPr>
            </w:pPr>
            <w:r>
              <w:rPr>
                <w:rFonts w:hint="eastAsia" w:ascii="仿宋" w:hAnsi="仿宋" w:eastAsia="仿宋" w:cs="仿宋"/>
                <w:sz w:val="24"/>
              </w:rPr>
              <w:t>1</w:t>
            </w:r>
          </w:p>
        </w:tc>
        <w:tc>
          <w:tcPr>
            <w:tcW w:w="2297" w:type="dxa"/>
            <w:vAlign w:val="center"/>
          </w:tcPr>
          <w:p>
            <w:pPr>
              <w:jc w:val="center"/>
              <w:rPr>
                <w:rFonts w:ascii="仿宋" w:hAnsi="仿宋" w:eastAsia="仿宋" w:cs="仿宋"/>
                <w:sz w:val="24"/>
              </w:rPr>
            </w:pPr>
            <w:r>
              <w:rPr>
                <w:rFonts w:hint="eastAsia" w:ascii="仿宋" w:hAnsi="仿宋" w:eastAsia="仿宋" w:cs="仿宋"/>
                <w:sz w:val="24"/>
              </w:rPr>
              <w:t>工程技术学院</w:t>
            </w:r>
          </w:p>
        </w:tc>
        <w:tc>
          <w:tcPr>
            <w:tcW w:w="2472" w:type="dxa"/>
            <w:vAlign w:val="center"/>
          </w:tcPr>
          <w:p>
            <w:pPr>
              <w:jc w:val="center"/>
              <w:rPr>
                <w:rFonts w:ascii="仿宋" w:hAnsi="仿宋" w:eastAsia="仿宋" w:cs="仿宋"/>
                <w:sz w:val="24"/>
              </w:rPr>
            </w:pPr>
            <w:r>
              <w:rPr>
                <w:rFonts w:hint="eastAsia" w:ascii="仿宋" w:hAnsi="仿宋" w:eastAsia="仿宋" w:cs="仿宋"/>
                <w:sz w:val="24"/>
              </w:rPr>
              <w:t>18网络2班</w:t>
            </w:r>
          </w:p>
        </w:tc>
        <w:tc>
          <w:tcPr>
            <w:tcW w:w="2297" w:type="dxa"/>
            <w:vAlign w:val="center"/>
          </w:tcPr>
          <w:p>
            <w:pPr>
              <w:jc w:val="center"/>
              <w:rPr>
                <w:rFonts w:ascii="仿宋" w:hAnsi="仿宋" w:eastAsia="仿宋" w:cs="仿宋"/>
                <w:sz w:val="24"/>
              </w:rPr>
            </w:pPr>
            <w:r>
              <w:rPr>
                <w:rFonts w:hint="eastAsia" w:ascii="仿宋" w:hAnsi="仿宋" w:eastAsia="仿宋" w:cs="仿宋"/>
                <w:sz w:val="24"/>
              </w:rPr>
              <w:t>92.50</w:t>
            </w:r>
          </w:p>
        </w:tc>
        <w:tc>
          <w:tcPr>
            <w:tcW w:w="988"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18" w:type="dxa"/>
            <w:vAlign w:val="center"/>
          </w:tcPr>
          <w:p>
            <w:pPr>
              <w:jc w:val="center"/>
              <w:rPr>
                <w:rFonts w:ascii="仿宋" w:hAnsi="仿宋" w:eastAsia="仿宋" w:cs="仿宋"/>
                <w:sz w:val="24"/>
              </w:rPr>
            </w:pPr>
            <w:r>
              <w:rPr>
                <w:rFonts w:hint="eastAsia" w:ascii="仿宋" w:hAnsi="仿宋" w:eastAsia="仿宋" w:cs="仿宋"/>
                <w:sz w:val="24"/>
              </w:rPr>
              <w:t>2</w:t>
            </w:r>
          </w:p>
        </w:tc>
        <w:tc>
          <w:tcPr>
            <w:tcW w:w="2297" w:type="dxa"/>
            <w:vAlign w:val="center"/>
          </w:tcPr>
          <w:p>
            <w:pPr>
              <w:jc w:val="center"/>
              <w:rPr>
                <w:rFonts w:ascii="仿宋" w:hAnsi="仿宋" w:eastAsia="仿宋" w:cs="仿宋"/>
                <w:sz w:val="24"/>
              </w:rPr>
            </w:pPr>
            <w:r>
              <w:rPr>
                <w:rFonts w:hint="eastAsia" w:ascii="仿宋" w:hAnsi="仿宋" w:eastAsia="仿宋" w:cs="仿宋"/>
                <w:sz w:val="24"/>
              </w:rPr>
              <w:t>旅游管理学院</w:t>
            </w:r>
          </w:p>
        </w:tc>
        <w:tc>
          <w:tcPr>
            <w:tcW w:w="2472" w:type="dxa"/>
            <w:vAlign w:val="center"/>
          </w:tcPr>
          <w:p>
            <w:pPr>
              <w:jc w:val="center"/>
              <w:rPr>
                <w:rFonts w:ascii="仿宋" w:hAnsi="仿宋" w:eastAsia="仿宋" w:cs="仿宋"/>
                <w:sz w:val="24"/>
              </w:rPr>
            </w:pPr>
            <w:r>
              <w:rPr>
                <w:rFonts w:hint="eastAsia" w:ascii="仿宋" w:hAnsi="仿宋" w:eastAsia="仿宋" w:cs="仿宋"/>
                <w:sz w:val="24"/>
              </w:rPr>
              <w:t>18酒管1班</w:t>
            </w:r>
          </w:p>
        </w:tc>
        <w:tc>
          <w:tcPr>
            <w:tcW w:w="2297" w:type="dxa"/>
            <w:vAlign w:val="center"/>
          </w:tcPr>
          <w:p>
            <w:pPr>
              <w:jc w:val="center"/>
              <w:rPr>
                <w:rFonts w:ascii="仿宋" w:hAnsi="仿宋" w:eastAsia="仿宋" w:cs="仿宋"/>
                <w:sz w:val="24"/>
              </w:rPr>
            </w:pPr>
            <w:r>
              <w:rPr>
                <w:rFonts w:hint="eastAsia" w:ascii="仿宋" w:hAnsi="仿宋" w:eastAsia="仿宋" w:cs="仿宋"/>
                <w:sz w:val="24"/>
              </w:rPr>
              <w:t>91.89</w:t>
            </w:r>
          </w:p>
        </w:tc>
        <w:tc>
          <w:tcPr>
            <w:tcW w:w="988"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18" w:type="dxa"/>
            <w:vAlign w:val="center"/>
          </w:tcPr>
          <w:p>
            <w:pPr>
              <w:jc w:val="center"/>
              <w:rPr>
                <w:rFonts w:ascii="仿宋" w:hAnsi="仿宋" w:eastAsia="仿宋" w:cs="仿宋"/>
                <w:sz w:val="24"/>
              </w:rPr>
            </w:pPr>
            <w:r>
              <w:rPr>
                <w:rFonts w:hint="eastAsia" w:ascii="仿宋" w:hAnsi="仿宋" w:eastAsia="仿宋" w:cs="仿宋"/>
                <w:sz w:val="24"/>
              </w:rPr>
              <w:t>3</w:t>
            </w:r>
          </w:p>
        </w:tc>
        <w:tc>
          <w:tcPr>
            <w:tcW w:w="2297" w:type="dxa"/>
            <w:vAlign w:val="center"/>
          </w:tcPr>
          <w:p>
            <w:pPr>
              <w:jc w:val="center"/>
              <w:rPr>
                <w:rFonts w:ascii="仿宋" w:hAnsi="仿宋" w:eastAsia="仿宋" w:cs="仿宋"/>
                <w:sz w:val="24"/>
              </w:rPr>
            </w:pPr>
            <w:r>
              <w:rPr>
                <w:rFonts w:hint="eastAsia" w:ascii="仿宋" w:hAnsi="仿宋" w:eastAsia="仿宋" w:cs="仿宋"/>
                <w:sz w:val="24"/>
              </w:rPr>
              <w:t>国际教育学院</w:t>
            </w:r>
          </w:p>
        </w:tc>
        <w:tc>
          <w:tcPr>
            <w:tcW w:w="2472" w:type="dxa"/>
            <w:vAlign w:val="center"/>
          </w:tcPr>
          <w:p>
            <w:pPr>
              <w:jc w:val="center"/>
              <w:rPr>
                <w:rFonts w:ascii="仿宋" w:hAnsi="仿宋" w:eastAsia="仿宋" w:cs="仿宋"/>
                <w:sz w:val="24"/>
              </w:rPr>
            </w:pPr>
            <w:r>
              <w:rPr>
                <w:rFonts w:hint="eastAsia" w:ascii="仿宋" w:hAnsi="仿宋" w:eastAsia="仿宋" w:cs="仿宋"/>
                <w:sz w:val="24"/>
              </w:rPr>
              <w:t>18日语2班</w:t>
            </w:r>
          </w:p>
        </w:tc>
        <w:tc>
          <w:tcPr>
            <w:tcW w:w="2297" w:type="dxa"/>
            <w:vAlign w:val="center"/>
          </w:tcPr>
          <w:p>
            <w:pPr>
              <w:jc w:val="center"/>
              <w:rPr>
                <w:rFonts w:ascii="仿宋" w:hAnsi="仿宋" w:eastAsia="仿宋" w:cs="仿宋"/>
                <w:sz w:val="24"/>
              </w:rPr>
            </w:pPr>
            <w:r>
              <w:rPr>
                <w:rFonts w:hint="eastAsia" w:ascii="仿宋" w:hAnsi="仿宋" w:eastAsia="仿宋" w:cs="仿宋"/>
                <w:sz w:val="24"/>
              </w:rPr>
              <w:t>88.89</w:t>
            </w:r>
          </w:p>
        </w:tc>
        <w:tc>
          <w:tcPr>
            <w:tcW w:w="988"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18" w:type="dxa"/>
            <w:vAlign w:val="center"/>
          </w:tcPr>
          <w:p>
            <w:pPr>
              <w:jc w:val="center"/>
              <w:rPr>
                <w:rFonts w:ascii="仿宋" w:hAnsi="仿宋" w:eastAsia="仿宋" w:cs="仿宋"/>
                <w:sz w:val="24"/>
              </w:rPr>
            </w:pPr>
            <w:r>
              <w:rPr>
                <w:rFonts w:hint="eastAsia" w:ascii="仿宋" w:hAnsi="仿宋" w:eastAsia="仿宋" w:cs="仿宋"/>
                <w:sz w:val="24"/>
              </w:rPr>
              <w:t>4</w:t>
            </w:r>
          </w:p>
        </w:tc>
        <w:tc>
          <w:tcPr>
            <w:tcW w:w="2297" w:type="dxa"/>
            <w:vAlign w:val="center"/>
          </w:tcPr>
          <w:p>
            <w:pPr>
              <w:jc w:val="center"/>
              <w:rPr>
                <w:rFonts w:ascii="仿宋" w:hAnsi="仿宋" w:eastAsia="仿宋" w:cs="仿宋"/>
                <w:sz w:val="24"/>
              </w:rPr>
            </w:pPr>
            <w:r>
              <w:rPr>
                <w:rFonts w:hint="eastAsia" w:ascii="仿宋" w:hAnsi="仿宋" w:eastAsia="仿宋" w:cs="仿宋"/>
                <w:sz w:val="24"/>
              </w:rPr>
              <w:t>工商管理学院</w:t>
            </w:r>
          </w:p>
        </w:tc>
        <w:tc>
          <w:tcPr>
            <w:tcW w:w="2472" w:type="dxa"/>
            <w:vAlign w:val="center"/>
          </w:tcPr>
          <w:p>
            <w:pPr>
              <w:jc w:val="center"/>
              <w:rPr>
                <w:rFonts w:ascii="仿宋" w:hAnsi="仿宋" w:eastAsia="仿宋" w:cs="仿宋"/>
                <w:sz w:val="24"/>
              </w:rPr>
            </w:pPr>
            <w:r>
              <w:rPr>
                <w:rFonts w:hint="eastAsia" w:ascii="仿宋" w:hAnsi="仿宋" w:eastAsia="仿宋" w:cs="仿宋"/>
                <w:sz w:val="24"/>
              </w:rPr>
              <w:t>17连锁1班</w:t>
            </w:r>
          </w:p>
        </w:tc>
        <w:tc>
          <w:tcPr>
            <w:tcW w:w="2297" w:type="dxa"/>
            <w:vAlign w:val="center"/>
          </w:tcPr>
          <w:p>
            <w:pPr>
              <w:jc w:val="center"/>
              <w:rPr>
                <w:rFonts w:ascii="仿宋" w:hAnsi="仿宋" w:eastAsia="仿宋" w:cs="仿宋"/>
                <w:sz w:val="24"/>
              </w:rPr>
            </w:pPr>
            <w:r>
              <w:rPr>
                <w:rFonts w:hint="eastAsia" w:ascii="仿宋" w:hAnsi="仿宋" w:eastAsia="仿宋" w:cs="仿宋"/>
                <w:sz w:val="24"/>
              </w:rPr>
              <w:t>85.71</w:t>
            </w:r>
          </w:p>
        </w:tc>
        <w:tc>
          <w:tcPr>
            <w:tcW w:w="988"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18" w:type="dxa"/>
            <w:vAlign w:val="center"/>
          </w:tcPr>
          <w:p>
            <w:pPr>
              <w:jc w:val="center"/>
              <w:rPr>
                <w:rFonts w:ascii="仿宋" w:hAnsi="仿宋" w:eastAsia="仿宋" w:cs="仿宋"/>
                <w:sz w:val="24"/>
              </w:rPr>
            </w:pPr>
            <w:r>
              <w:rPr>
                <w:rFonts w:hint="eastAsia" w:ascii="仿宋" w:hAnsi="仿宋" w:eastAsia="仿宋" w:cs="仿宋"/>
                <w:sz w:val="24"/>
              </w:rPr>
              <w:t>5</w:t>
            </w:r>
          </w:p>
        </w:tc>
        <w:tc>
          <w:tcPr>
            <w:tcW w:w="2297" w:type="dxa"/>
            <w:vAlign w:val="center"/>
          </w:tcPr>
          <w:p>
            <w:pPr>
              <w:jc w:val="center"/>
              <w:rPr>
                <w:rFonts w:ascii="仿宋" w:hAnsi="仿宋" w:eastAsia="仿宋" w:cs="仿宋"/>
                <w:sz w:val="24"/>
              </w:rPr>
            </w:pPr>
            <w:r>
              <w:rPr>
                <w:rFonts w:hint="eastAsia" w:ascii="仿宋" w:hAnsi="仿宋" w:eastAsia="仿宋" w:cs="仿宋"/>
                <w:sz w:val="24"/>
              </w:rPr>
              <w:t>人文艺术学院</w:t>
            </w:r>
          </w:p>
        </w:tc>
        <w:tc>
          <w:tcPr>
            <w:tcW w:w="2472" w:type="dxa"/>
            <w:vAlign w:val="center"/>
          </w:tcPr>
          <w:p>
            <w:pPr>
              <w:jc w:val="center"/>
              <w:rPr>
                <w:rFonts w:ascii="仿宋" w:hAnsi="仿宋" w:eastAsia="仿宋" w:cs="仿宋"/>
                <w:sz w:val="24"/>
              </w:rPr>
            </w:pPr>
            <w:r>
              <w:rPr>
                <w:rFonts w:hint="eastAsia" w:ascii="仿宋" w:hAnsi="仿宋" w:eastAsia="仿宋" w:cs="仿宋"/>
                <w:sz w:val="24"/>
              </w:rPr>
              <w:t>18体管2班</w:t>
            </w:r>
          </w:p>
        </w:tc>
        <w:tc>
          <w:tcPr>
            <w:tcW w:w="2297" w:type="dxa"/>
            <w:vAlign w:val="center"/>
          </w:tcPr>
          <w:p>
            <w:pPr>
              <w:jc w:val="center"/>
              <w:rPr>
                <w:rFonts w:ascii="仿宋" w:hAnsi="仿宋" w:eastAsia="仿宋" w:cs="仿宋"/>
                <w:sz w:val="24"/>
              </w:rPr>
            </w:pPr>
            <w:r>
              <w:rPr>
                <w:rFonts w:hint="eastAsia" w:ascii="仿宋" w:hAnsi="仿宋" w:eastAsia="仿宋" w:cs="仿宋"/>
                <w:sz w:val="24"/>
              </w:rPr>
              <w:t>80.65</w:t>
            </w:r>
          </w:p>
        </w:tc>
        <w:tc>
          <w:tcPr>
            <w:tcW w:w="988"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trPr>
        <w:tc>
          <w:tcPr>
            <w:tcW w:w="1018" w:type="dxa"/>
            <w:vAlign w:val="center"/>
          </w:tcPr>
          <w:p>
            <w:pPr>
              <w:jc w:val="center"/>
              <w:rPr>
                <w:rFonts w:ascii="仿宋" w:hAnsi="仿宋" w:eastAsia="仿宋" w:cs="仿宋"/>
                <w:sz w:val="24"/>
              </w:rPr>
            </w:pPr>
            <w:r>
              <w:rPr>
                <w:rFonts w:hint="eastAsia" w:ascii="仿宋" w:hAnsi="仿宋" w:eastAsia="仿宋" w:cs="仿宋"/>
                <w:sz w:val="24"/>
              </w:rPr>
              <w:t>6</w:t>
            </w:r>
          </w:p>
        </w:tc>
        <w:tc>
          <w:tcPr>
            <w:tcW w:w="2297" w:type="dxa"/>
            <w:vAlign w:val="center"/>
          </w:tcPr>
          <w:p>
            <w:pPr>
              <w:jc w:val="center"/>
              <w:rPr>
                <w:rFonts w:ascii="仿宋" w:hAnsi="仿宋" w:eastAsia="仿宋" w:cs="仿宋"/>
                <w:sz w:val="24"/>
              </w:rPr>
            </w:pPr>
            <w:r>
              <w:rPr>
                <w:rFonts w:hint="eastAsia" w:ascii="仿宋" w:hAnsi="仿宋" w:eastAsia="仿宋" w:cs="仿宋"/>
                <w:sz w:val="24"/>
              </w:rPr>
              <w:t>财务管理学院</w:t>
            </w:r>
          </w:p>
        </w:tc>
        <w:tc>
          <w:tcPr>
            <w:tcW w:w="2472" w:type="dxa"/>
            <w:vAlign w:val="center"/>
          </w:tcPr>
          <w:p>
            <w:pPr>
              <w:jc w:val="center"/>
              <w:rPr>
                <w:rFonts w:ascii="仿宋" w:hAnsi="仿宋" w:eastAsia="仿宋" w:cs="仿宋"/>
                <w:sz w:val="24"/>
              </w:rPr>
            </w:pPr>
            <w:r>
              <w:rPr>
                <w:rFonts w:hint="eastAsia" w:ascii="仿宋" w:hAnsi="仿宋" w:eastAsia="仿宋" w:cs="仿宋"/>
                <w:sz w:val="24"/>
              </w:rPr>
              <w:t>18会计中澳1班</w:t>
            </w:r>
          </w:p>
        </w:tc>
        <w:tc>
          <w:tcPr>
            <w:tcW w:w="2297" w:type="dxa"/>
            <w:vAlign w:val="center"/>
          </w:tcPr>
          <w:p>
            <w:pPr>
              <w:jc w:val="center"/>
              <w:rPr>
                <w:rFonts w:ascii="仿宋" w:hAnsi="仿宋" w:eastAsia="仿宋" w:cs="仿宋"/>
                <w:sz w:val="24"/>
              </w:rPr>
            </w:pPr>
            <w:r>
              <w:rPr>
                <w:rFonts w:hint="eastAsia" w:ascii="仿宋" w:hAnsi="仿宋" w:eastAsia="仿宋" w:cs="仿宋"/>
                <w:sz w:val="24"/>
              </w:rPr>
              <w:t>79.41</w:t>
            </w:r>
          </w:p>
        </w:tc>
        <w:tc>
          <w:tcPr>
            <w:tcW w:w="988" w:type="dxa"/>
            <w:vAlign w:val="center"/>
          </w:tcPr>
          <w:p>
            <w:pPr>
              <w:jc w:val="center"/>
              <w:rPr>
                <w:rFonts w:ascii="仿宋" w:hAnsi="仿宋" w:eastAsia="仿宋" w:cs="仿宋"/>
                <w:sz w:val="24"/>
              </w:rPr>
            </w:pPr>
          </w:p>
        </w:tc>
      </w:tr>
    </w:tbl>
    <w:p>
      <w:pPr>
        <w:spacing w:beforeLines="150" w:afterLines="50"/>
        <w:ind w:firstLine="560" w:firstLineChars="200"/>
        <w:rPr>
          <w:rFonts w:ascii="仿宋" w:hAnsi="仿宋" w:eastAsia="仿宋" w:cs="仿宋"/>
          <w:sz w:val="28"/>
          <w:szCs w:val="28"/>
        </w:rPr>
      </w:pPr>
      <w:r>
        <w:rPr>
          <w:rFonts w:hint="eastAsia" w:ascii="仿宋" w:hAnsi="仿宋" w:eastAsia="仿宋" w:cs="仿宋"/>
          <w:sz w:val="28"/>
          <w:szCs w:val="28"/>
        </w:rPr>
        <w:t>4.第2周抽查结果显示，全校有4个本科班级学生平均到课率未达到100%,占本科班总数的25%：</w:t>
      </w:r>
    </w:p>
    <w:tbl>
      <w:tblPr>
        <w:tblStyle w:val="5"/>
        <w:tblpPr w:leftFromText="180" w:rightFromText="180" w:vertAnchor="text" w:horzAnchor="margin" w:tblpXSpec="center" w:tblpY="67"/>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8"/>
        <w:gridCol w:w="2649"/>
        <w:gridCol w:w="2120"/>
        <w:gridCol w:w="2297"/>
        <w:gridCol w:w="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018"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序号</w:t>
            </w:r>
          </w:p>
        </w:tc>
        <w:tc>
          <w:tcPr>
            <w:tcW w:w="2649"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班级</w:t>
            </w:r>
          </w:p>
        </w:tc>
        <w:tc>
          <w:tcPr>
            <w:tcW w:w="2120"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到课率（%）</w:t>
            </w:r>
          </w:p>
        </w:tc>
        <w:tc>
          <w:tcPr>
            <w:tcW w:w="2297"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所属学院</w:t>
            </w:r>
          </w:p>
        </w:tc>
        <w:tc>
          <w:tcPr>
            <w:tcW w:w="988" w:type="dxa"/>
            <w:shd w:val="clear" w:color="auto" w:fill="63B86C" w:themeFill="background1" w:themeFillShade="A6"/>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018" w:type="dxa"/>
            <w:tcBorders>
              <w:bottom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2649" w:type="dxa"/>
            <w:tcBorders>
              <w:bottom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17营销3+2</w:t>
            </w:r>
          </w:p>
        </w:tc>
        <w:tc>
          <w:tcPr>
            <w:tcW w:w="2120" w:type="dxa"/>
            <w:tcBorders>
              <w:bottom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97.92%</w:t>
            </w:r>
          </w:p>
        </w:tc>
        <w:tc>
          <w:tcPr>
            <w:tcW w:w="2297" w:type="dxa"/>
            <w:tcBorders>
              <w:bottom w:val="single" w:color="000000" w:sz="4" w:space="0"/>
            </w:tcBorders>
            <w:vAlign w:val="center"/>
          </w:tcPr>
          <w:p>
            <w:pPr>
              <w:jc w:val="center"/>
              <w:rPr>
                <w:rFonts w:ascii="仿宋" w:hAnsi="仿宋" w:eastAsia="仿宋" w:cs="仿宋"/>
                <w:sz w:val="24"/>
              </w:rPr>
            </w:pPr>
            <w:r>
              <w:rPr>
                <w:rFonts w:hint="eastAsia" w:ascii="仿宋" w:hAnsi="仿宋" w:eastAsia="仿宋" w:cs="仿宋"/>
                <w:sz w:val="24"/>
              </w:rPr>
              <w:t>工商管理学院</w:t>
            </w:r>
          </w:p>
        </w:tc>
        <w:tc>
          <w:tcPr>
            <w:tcW w:w="988" w:type="dxa"/>
            <w:tcBorders>
              <w:bottom w:val="single" w:color="000000" w:sz="4" w:space="0"/>
            </w:tcBorders>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18" w:type="dxa"/>
            <w:vAlign w:val="center"/>
          </w:tcPr>
          <w:p>
            <w:pPr>
              <w:jc w:val="center"/>
              <w:rPr>
                <w:rFonts w:ascii="仿宋" w:hAnsi="仿宋" w:eastAsia="仿宋" w:cs="仿宋"/>
                <w:sz w:val="24"/>
              </w:rPr>
            </w:pPr>
            <w:r>
              <w:rPr>
                <w:rFonts w:hint="eastAsia" w:ascii="仿宋" w:hAnsi="仿宋" w:eastAsia="仿宋" w:cs="仿宋"/>
                <w:sz w:val="24"/>
              </w:rPr>
              <w:t>2</w:t>
            </w:r>
          </w:p>
        </w:tc>
        <w:tc>
          <w:tcPr>
            <w:tcW w:w="2649" w:type="dxa"/>
            <w:vAlign w:val="center"/>
          </w:tcPr>
          <w:p>
            <w:pPr>
              <w:jc w:val="center"/>
              <w:rPr>
                <w:rFonts w:ascii="仿宋" w:hAnsi="仿宋" w:eastAsia="仿宋" w:cs="仿宋"/>
                <w:sz w:val="24"/>
              </w:rPr>
            </w:pPr>
            <w:r>
              <w:rPr>
                <w:rFonts w:hint="eastAsia" w:ascii="仿宋" w:hAnsi="仿宋" w:eastAsia="仿宋" w:cs="仿宋"/>
                <w:sz w:val="24"/>
              </w:rPr>
              <w:t>18旅本1</w:t>
            </w:r>
          </w:p>
        </w:tc>
        <w:tc>
          <w:tcPr>
            <w:tcW w:w="2120" w:type="dxa"/>
            <w:vAlign w:val="center"/>
          </w:tcPr>
          <w:p>
            <w:pPr>
              <w:jc w:val="center"/>
              <w:rPr>
                <w:rFonts w:ascii="仿宋" w:hAnsi="仿宋" w:eastAsia="仿宋" w:cs="仿宋"/>
                <w:sz w:val="24"/>
              </w:rPr>
            </w:pPr>
            <w:r>
              <w:rPr>
                <w:rFonts w:hint="eastAsia" w:ascii="仿宋" w:hAnsi="仿宋" w:eastAsia="仿宋" w:cs="仿宋"/>
                <w:sz w:val="24"/>
              </w:rPr>
              <w:t>94.87%</w:t>
            </w:r>
          </w:p>
        </w:tc>
        <w:tc>
          <w:tcPr>
            <w:tcW w:w="2297" w:type="dxa"/>
            <w:vAlign w:val="center"/>
          </w:tcPr>
          <w:p>
            <w:pPr>
              <w:jc w:val="center"/>
              <w:rPr>
                <w:rFonts w:ascii="仿宋" w:hAnsi="仿宋" w:eastAsia="仿宋" w:cs="仿宋"/>
                <w:sz w:val="24"/>
              </w:rPr>
            </w:pPr>
            <w:r>
              <w:rPr>
                <w:rFonts w:hint="eastAsia" w:ascii="仿宋" w:hAnsi="仿宋" w:eastAsia="仿宋" w:cs="仿宋"/>
                <w:sz w:val="24"/>
              </w:rPr>
              <w:t>旅游管理学院</w:t>
            </w:r>
          </w:p>
        </w:tc>
        <w:tc>
          <w:tcPr>
            <w:tcW w:w="988"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18" w:type="dxa"/>
            <w:vAlign w:val="center"/>
          </w:tcPr>
          <w:p>
            <w:pPr>
              <w:jc w:val="center"/>
              <w:rPr>
                <w:rFonts w:ascii="仿宋" w:hAnsi="仿宋" w:eastAsia="仿宋" w:cs="仿宋"/>
                <w:sz w:val="24"/>
              </w:rPr>
            </w:pPr>
            <w:r>
              <w:rPr>
                <w:rFonts w:hint="eastAsia" w:ascii="仿宋" w:hAnsi="仿宋" w:eastAsia="仿宋" w:cs="仿宋"/>
                <w:sz w:val="24"/>
              </w:rPr>
              <w:t>3</w:t>
            </w:r>
          </w:p>
        </w:tc>
        <w:tc>
          <w:tcPr>
            <w:tcW w:w="2649" w:type="dxa"/>
            <w:vAlign w:val="center"/>
          </w:tcPr>
          <w:p>
            <w:pPr>
              <w:jc w:val="center"/>
              <w:rPr>
                <w:rFonts w:ascii="仿宋" w:hAnsi="仿宋" w:eastAsia="仿宋" w:cs="仿宋"/>
                <w:sz w:val="24"/>
              </w:rPr>
            </w:pPr>
            <w:r>
              <w:rPr>
                <w:rFonts w:hint="eastAsia" w:ascii="仿宋" w:hAnsi="仿宋" w:eastAsia="仿宋" w:cs="仿宋"/>
                <w:sz w:val="24"/>
              </w:rPr>
              <w:t>18物本1</w:t>
            </w:r>
          </w:p>
        </w:tc>
        <w:tc>
          <w:tcPr>
            <w:tcW w:w="2120" w:type="dxa"/>
            <w:vAlign w:val="center"/>
          </w:tcPr>
          <w:p>
            <w:pPr>
              <w:jc w:val="center"/>
              <w:rPr>
                <w:rFonts w:ascii="仿宋" w:hAnsi="仿宋" w:eastAsia="仿宋" w:cs="仿宋"/>
                <w:sz w:val="24"/>
              </w:rPr>
            </w:pPr>
            <w:r>
              <w:rPr>
                <w:rFonts w:hint="eastAsia" w:ascii="仿宋" w:hAnsi="仿宋" w:eastAsia="仿宋" w:cs="仿宋"/>
                <w:sz w:val="24"/>
              </w:rPr>
              <w:t>94.74%</w:t>
            </w:r>
          </w:p>
        </w:tc>
        <w:tc>
          <w:tcPr>
            <w:tcW w:w="2297" w:type="dxa"/>
            <w:vAlign w:val="center"/>
          </w:tcPr>
          <w:p>
            <w:pPr>
              <w:jc w:val="center"/>
              <w:rPr>
                <w:rFonts w:ascii="仿宋" w:hAnsi="仿宋" w:eastAsia="仿宋" w:cs="仿宋"/>
                <w:sz w:val="24"/>
              </w:rPr>
            </w:pPr>
            <w:r>
              <w:rPr>
                <w:rFonts w:hint="eastAsia" w:ascii="仿宋" w:hAnsi="仿宋" w:eastAsia="仿宋" w:cs="仿宋"/>
                <w:sz w:val="24"/>
              </w:rPr>
              <w:t>工商管理学院</w:t>
            </w:r>
          </w:p>
        </w:tc>
        <w:tc>
          <w:tcPr>
            <w:tcW w:w="988" w:type="dxa"/>
            <w:vAlign w:val="center"/>
          </w:tcPr>
          <w:p>
            <w:pPr>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18" w:type="dxa"/>
            <w:vAlign w:val="center"/>
          </w:tcPr>
          <w:p>
            <w:pPr>
              <w:jc w:val="center"/>
              <w:rPr>
                <w:rFonts w:ascii="仿宋" w:hAnsi="仿宋" w:eastAsia="仿宋" w:cs="仿宋"/>
                <w:sz w:val="24"/>
              </w:rPr>
            </w:pPr>
            <w:r>
              <w:rPr>
                <w:rFonts w:hint="eastAsia" w:ascii="仿宋" w:hAnsi="仿宋" w:eastAsia="仿宋" w:cs="仿宋"/>
                <w:sz w:val="24"/>
              </w:rPr>
              <w:t>4</w:t>
            </w:r>
          </w:p>
        </w:tc>
        <w:tc>
          <w:tcPr>
            <w:tcW w:w="2649" w:type="dxa"/>
            <w:vAlign w:val="center"/>
          </w:tcPr>
          <w:p>
            <w:pPr>
              <w:jc w:val="center"/>
              <w:rPr>
                <w:rFonts w:ascii="仿宋" w:hAnsi="仿宋" w:eastAsia="仿宋" w:cs="仿宋"/>
                <w:sz w:val="24"/>
              </w:rPr>
            </w:pPr>
            <w:r>
              <w:rPr>
                <w:rFonts w:hint="eastAsia" w:ascii="仿宋" w:hAnsi="仿宋" w:eastAsia="仿宋" w:cs="仿宋"/>
                <w:sz w:val="24"/>
              </w:rPr>
              <w:t>18财管4+0(本科)1</w:t>
            </w:r>
          </w:p>
        </w:tc>
        <w:tc>
          <w:tcPr>
            <w:tcW w:w="2120" w:type="dxa"/>
            <w:vAlign w:val="center"/>
          </w:tcPr>
          <w:p>
            <w:pPr>
              <w:jc w:val="center"/>
              <w:rPr>
                <w:rFonts w:ascii="仿宋" w:hAnsi="仿宋" w:eastAsia="仿宋" w:cs="仿宋"/>
                <w:sz w:val="24"/>
              </w:rPr>
            </w:pPr>
            <w:r>
              <w:rPr>
                <w:rFonts w:hint="eastAsia" w:ascii="仿宋" w:hAnsi="仿宋" w:eastAsia="仿宋" w:cs="仿宋"/>
                <w:sz w:val="24"/>
              </w:rPr>
              <w:t>91.84%</w:t>
            </w:r>
          </w:p>
        </w:tc>
        <w:tc>
          <w:tcPr>
            <w:tcW w:w="2297" w:type="dxa"/>
            <w:vAlign w:val="center"/>
          </w:tcPr>
          <w:p>
            <w:pPr>
              <w:jc w:val="center"/>
              <w:rPr>
                <w:rFonts w:ascii="仿宋" w:hAnsi="仿宋" w:eastAsia="仿宋" w:cs="仿宋"/>
                <w:sz w:val="24"/>
              </w:rPr>
            </w:pPr>
            <w:r>
              <w:rPr>
                <w:rFonts w:hint="eastAsia" w:ascii="仿宋" w:hAnsi="仿宋" w:eastAsia="仿宋" w:cs="仿宋"/>
                <w:sz w:val="24"/>
              </w:rPr>
              <w:t>财务管理学院</w:t>
            </w:r>
          </w:p>
        </w:tc>
        <w:tc>
          <w:tcPr>
            <w:tcW w:w="988" w:type="dxa"/>
            <w:vAlign w:val="center"/>
          </w:tcPr>
          <w:p>
            <w:pPr>
              <w:jc w:val="center"/>
              <w:rPr>
                <w:rFonts w:ascii="仿宋" w:hAnsi="仿宋" w:eastAsia="仿宋" w:cs="仿宋"/>
                <w:sz w:val="24"/>
              </w:rPr>
            </w:pPr>
          </w:p>
        </w:tc>
      </w:tr>
    </w:tbl>
    <w:p>
      <w:pPr>
        <w:spacing w:beforeLines="150"/>
        <w:ind w:firstLine="560" w:firstLineChars="200"/>
        <w:rPr>
          <w:rFonts w:ascii="仿宋" w:hAnsi="仿宋" w:eastAsia="仿宋" w:cs="仿宋"/>
          <w:sz w:val="28"/>
          <w:szCs w:val="28"/>
        </w:rPr>
      </w:pPr>
      <w:r>
        <w:rPr>
          <w:rFonts w:hint="eastAsia" w:ascii="仿宋" w:hAnsi="仿宋" w:eastAsia="仿宋" w:cs="仿宋"/>
          <w:sz w:val="28"/>
          <w:szCs w:val="28"/>
        </w:rPr>
        <w:t>5.18物流本科1班连续</w:t>
      </w:r>
      <w:r>
        <w:rPr>
          <w:rFonts w:hint="eastAsia" w:ascii="仿宋" w:hAnsi="仿宋" w:eastAsia="仿宋" w:cs="仿宋"/>
          <w:b/>
          <w:bCs/>
          <w:sz w:val="32"/>
          <w:szCs w:val="32"/>
        </w:rPr>
        <w:t>二</w:t>
      </w:r>
      <w:r>
        <w:rPr>
          <w:rFonts w:hint="eastAsia" w:ascii="仿宋" w:hAnsi="仿宋" w:eastAsia="仿宋" w:cs="仿宋"/>
          <w:sz w:val="28"/>
          <w:szCs w:val="28"/>
        </w:rPr>
        <w:t>个学期的第2周班级学生到课率未达到100%。</w:t>
      </w:r>
    </w:p>
    <w:p>
      <w:pPr>
        <w:ind w:firstLine="301" w:firstLineChars="100"/>
        <w:rPr>
          <w:rFonts w:hint="eastAsia" w:ascii="仿宋" w:hAnsi="仿宋" w:eastAsia="仿宋" w:cs="仿宋"/>
          <w:b/>
          <w:bCs/>
          <w:sz w:val="30"/>
          <w:szCs w:val="30"/>
          <w:lang w:eastAsia="zh-CN"/>
        </w:rPr>
      </w:pPr>
      <w:r>
        <w:rPr>
          <w:rFonts w:hint="eastAsia" w:ascii="仿宋" w:hAnsi="仿宋" w:eastAsia="仿宋" w:cs="仿宋"/>
          <w:b/>
          <w:bCs/>
          <w:sz w:val="30"/>
          <w:szCs w:val="30"/>
        </w:rPr>
        <w:t>（二）几点建议</w:t>
      </w:r>
      <w:r>
        <w:rPr>
          <w:rFonts w:hint="eastAsia" w:ascii="仿宋" w:hAnsi="仿宋" w:eastAsia="仿宋" w:cs="仿宋"/>
          <w:b/>
          <w:bCs/>
          <w:sz w:val="30"/>
          <w:szCs w:val="30"/>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本次到课率抽查数据显示，我校的班级学生平均到课率已达96.92%。学生到课堂上课，是学校实现教与学的基本前提，因此，到课率的高与低即反映的是教或学的问题，也反映出我们的教学管理、学生管理、教学保障管理的状况，目前的状况有喜有忧，有好，有不尽如人意。因此，督导委建议：</w:t>
      </w:r>
    </w:p>
    <w:p>
      <w:pPr>
        <w:ind w:firstLine="560" w:firstLineChars="200"/>
        <w:rPr>
          <w:rFonts w:ascii="仿宋" w:hAnsi="仿宋" w:eastAsia="仿宋" w:cs="仿宋"/>
          <w:sz w:val="28"/>
          <w:szCs w:val="28"/>
        </w:rPr>
      </w:pPr>
      <w:r>
        <w:rPr>
          <w:rFonts w:hint="eastAsia" w:ascii="仿宋" w:hAnsi="仿宋" w:eastAsia="仿宋" w:cs="仿宋"/>
          <w:sz w:val="28"/>
          <w:szCs w:val="28"/>
        </w:rPr>
        <w:t>1.请学校表扬工程技术学院,因为工程技术学院的第2周班级学生平均到课率超越旅游管理学院，夺得全校排名第一。</w:t>
      </w:r>
    </w:p>
    <w:p>
      <w:pPr>
        <w:spacing w:line="480" w:lineRule="exact"/>
        <w:ind w:firstLine="560" w:firstLineChars="200"/>
        <w:rPr>
          <w:rFonts w:ascii="仿宋" w:hAnsi="仿宋" w:eastAsia="仿宋"/>
          <w:sz w:val="28"/>
          <w:szCs w:val="28"/>
        </w:rPr>
      </w:pPr>
      <w:r>
        <w:rPr>
          <w:rFonts w:hint="eastAsia" w:ascii="仿宋" w:hAnsi="仿宋" w:eastAsia="仿宋" w:cs="仿宋"/>
          <w:sz w:val="28"/>
          <w:szCs w:val="28"/>
        </w:rPr>
        <w:t>2.</w:t>
      </w:r>
      <w:r>
        <w:rPr>
          <w:rFonts w:hint="eastAsia" w:ascii="仿宋" w:hAnsi="仿宋" w:eastAsia="仿宋"/>
          <w:sz w:val="28"/>
          <w:szCs w:val="28"/>
        </w:rPr>
        <w:t>继续建议学校和有本科专业的各二级学院设立独立的本科教学管理体系,建立本科教学管理制度，相对稳定一批担任本科教学的教师队伍。</w:t>
      </w:r>
    </w:p>
    <w:p>
      <w:pPr>
        <w:ind w:firstLine="560" w:firstLineChars="200"/>
        <w:rPr>
          <w:rFonts w:ascii="仿宋" w:hAnsi="仿宋" w:eastAsia="仿宋" w:cs="仿宋"/>
          <w:sz w:val="28"/>
          <w:szCs w:val="28"/>
        </w:rPr>
      </w:pPr>
      <w:r>
        <w:rPr>
          <w:rFonts w:hint="eastAsia" w:ascii="仿宋" w:hAnsi="仿宋" w:eastAsia="仿宋" w:cs="仿宋"/>
          <w:sz w:val="28"/>
          <w:szCs w:val="28"/>
        </w:rPr>
        <w:t>3.建议工商管理学院、人文艺术学院查找连续四个学期第二周班级学生平均到课率达不到全校平均水平的原因;继续请各二级学院认真的查找部分学生为什么不愿意到教室上课的原因。</w:t>
      </w:r>
    </w:p>
    <w:p>
      <w:pPr>
        <w:ind w:firstLine="560" w:firstLineChars="200"/>
        <w:rPr>
          <w:rFonts w:ascii="仿宋" w:hAnsi="仿宋" w:eastAsia="仿宋" w:cs="仿宋"/>
          <w:sz w:val="28"/>
          <w:szCs w:val="28"/>
        </w:rPr>
      </w:pPr>
      <w:r>
        <w:rPr>
          <w:rFonts w:hint="eastAsia" w:ascii="仿宋" w:hAnsi="仿宋" w:eastAsia="仿宋" w:cs="仿宋"/>
          <w:sz w:val="28"/>
          <w:szCs w:val="28"/>
        </w:rPr>
        <w:t>4.继续请有本科班的二级学院重点关注一下本科班的教与学，查找一下有些本科班的学生到课率为什么达不到100%。</w:t>
      </w:r>
    </w:p>
    <w:p>
      <w:pPr>
        <w:ind w:firstLine="560" w:firstLineChars="200"/>
        <w:rPr>
          <w:rFonts w:ascii="仿宋" w:hAnsi="仿宋" w:eastAsia="仿宋" w:cs="仿宋"/>
          <w:sz w:val="28"/>
          <w:szCs w:val="28"/>
        </w:rPr>
      </w:pPr>
      <w:r>
        <w:rPr>
          <w:rFonts w:hint="eastAsia" w:ascii="仿宋" w:hAnsi="仿宋" w:eastAsia="仿宋" w:cs="仿宋"/>
          <w:sz w:val="28"/>
          <w:szCs w:val="28"/>
        </w:rPr>
        <w:t>5.继续建议各二级学院建立或完善各种课堂管理制度，达到用制度管人的目的。</w:t>
      </w:r>
    </w:p>
    <w:p>
      <w:pPr>
        <w:ind w:firstLine="560" w:firstLineChars="200"/>
        <w:rPr>
          <w:rFonts w:ascii="仿宋" w:hAnsi="仿宋" w:eastAsia="仿宋" w:cs="仿宋"/>
          <w:sz w:val="28"/>
          <w:szCs w:val="28"/>
        </w:rPr>
      </w:pPr>
      <w:r>
        <w:rPr>
          <w:rFonts w:hint="eastAsia" w:ascii="仿宋" w:hAnsi="仿宋" w:eastAsia="仿宋" w:cs="仿宋"/>
          <w:sz w:val="28"/>
          <w:szCs w:val="28"/>
        </w:rPr>
        <w:t>附件：2019—2020学年第一学期第2周各二级学院到课率抽查排名。</w:t>
      </w:r>
    </w:p>
    <w:p>
      <w:pPr>
        <w:ind w:right="320"/>
        <w:jc w:val="right"/>
        <w:rPr>
          <w:rFonts w:ascii="仿宋_GB2312" w:hAnsi="宋体" w:eastAsia="仿宋_GB2312" w:cs="Times New Roman"/>
          <w:b/>
          <w:color w:val="000000"/>
          <w:kern w:val="0"/>
          <w:sz w:val="32"/>
          <w:szCs w:val="32"/>
        </w:rPr>
      </w:pPr>
    </w:p>
    <w:p>
      <w:pPr>
        <w:ind w:right="320"/>
        <w:jc w:val="right"/>
        <w:rPr>
          <w:rFonts w:ascii="仿宋_GB2312" w:hAnsi="宋体" w:eastAsia="仿宋_GB2312" w:cs="Times New Roman"/>
          <w:b/>
          <w:color w:val="000000"/>
          <w:kern w:val="0"/>
          <w:sz w:val="32"/>
          <w:szCs w:val="32"/>
        </w:rPr>
      </w:pPr>
    </w:p>
    <w:p>
      <w:pPr>
        <w:ind w:right="320"/>
        <w:jc w:val="right"/>
        <w:rPr>
          <w:rFonts w:ascii="仿宋_GB2312" w:hAnsi="宋体" w:eastAsia="仿宋_GB2312" w:cs="Times New Roman"/>
          <w:b/>
          <w:color w:val="000000"/>
          <w:kern w:val="0"/>
          <w:sz w:val="32"/>
          <w:szCs w:val="32"/>
        </w:rPr>
      </w:pPr>
    </w:p>
    <w:p>
      <w:pPr>
        <w:ind w:right="320"/>
        <w:jc w:val="right"/>
        <w:rPr>
          <w:rFonts w:hint="eastAsia" w:ascii="仿宋_GB2312" w:hAnsi="宋体" w:eastAsia="仿宋_GB2312" w:cs="Times New Roman"/>
          <w:b/>
          <w:color w:val="000000"/>
          <w:kern w:val="0"/>
          <w:sz w:val="32"/>
          <w:szCs w:val="32"/>
        </w:rPr>
      </w:pPr>
      <w:r>
        <w:rPr>
          <w:rFonts w:hint="eastAsia" w:ascii="仿宋_GB2312" w:hAnsi="宋体" w:eastAsia="仿宋_GB2312" w:cs="Times New Roman"/>
          <w:b/>
          <w:color w:val="000000"/>
          <w:kern w:val="0"/>
          <w:sz w:val="32"/>
          <w:szCs w:val="32"/>
          <w:lang w:val="en-US" w:eastAsia="zh-CN"/>
        </w:rPr>
        <w:t xml:space="preserve"> </w:t>
      </w:r>
      <w:r>
        <w:rPr>
          <w:rFonts w:hint="eastAsia" w:ascii="仿宋_GB2312" w:hAnsi="宋体" w:eastAsia="仿宋_GB2312" w:cs="Times New Roman"/>
          <w:b/>
          <w:color w:val="000000"/>
          <w:kern w:val="0"/>
          <w:sz w:val="32"/>
          <w:szCs w:val="32"/>
        </w:rPr>
        <w:t>校教学督导委员会</w:t>
      </w:r>
    </w:p>
    <w:p>
      <w:pPr>
        <w:ind w:right="320"/>
        <w:jc w:val="center"/>
        <w:rPr>
          <w:rFonts w:ascii="仿宋_GB2312" w:hAnsi="宋体" w:eastAsia="仿宋_GB2312" w:cs="Times New Roman"/>
          <w:b/>
          <w:color w:val="000000"/>
          <w:kern w:val="0"/>
          <w:sz w:val="32"/>
          <w:szCs w:val="32"/>
        </w:rPr>
        <w:sectPr>
          <w:pgSz w:w="11906" w:h="16838"/>
          <w:pgMar w:top="1157" w:right="1123" w:bottom="1157" w:left="1123" w:header="851" w:footer="992" w:gutter="0"/>
          <w:cols w:space="425" w:num="1"/>
          <w:docGrid w:type="lines" w:linePitch="312" w:charSpace="0"/>
        </w:sectPr>
      </w:pPr>
      <w:r>
        <w:rPr>
          <w:rFonts w:hint="eastAsia" w:ascii="仿宋_GB2312" w:hAnsi="宋体" w:eastAsia="仿宋_GB2312" w:cs="Times New Roman"/>
          <w:b/>
          <w:color w:val="000000"/>
          <w:kern w:val="0"/>
          <w:sz w:val="32"/>
          <w:szCs w:val="32"/>
          <w:lang w:val="en-US" w:eastAsia="zh-CN"/>
        </w:rPr>
        <w:t xml:space="preserve">                                          </w:t>
      </w:r>
      <w:r>
        <w:rPr>
          <w:rFonts w:hint="eastAsia" w:ascii="仿宋_GB2312" w:hAnsi="宋体" w:eastAsia="仿宋_GB2312" w:cs="Times New Roman"/>
          <w:b/>
          <w:color w:val="000000"/>
          <w:kern w:val="0"/>
          <w:sz w:val="32"/>
          <w:szCs w:val="32"/>
        </w:rPr>
        <w:t>二零一九年九月</w:t>
      </w:r>
    </w:p>
    <w:p>
      <w:pPr>
        <w:widowControl/>
        <w:rPr>
          <w:rFonts w:hint="eastAsia" w:ascii="仿宋" w:hAnsi="仿宋" w:eastAsia="仿宋"/>
          <w:b/>
          <w:bCs/>
          <w:color w:val="000000"/>
          <w:kern w:val="0"/>
          <w:sz w:val="32"/>
          <w:szCs w:val="32"/>
          <w:lang w:eastAsia="zh-CN"/>
        </w:rPr>
      </w:pPr>
      <w:r>
        <w:rPr>
          <w:rFonts w:hint="eastAsia" w:ascii="仿宋" w:hAnsi="仿宋" w:eastAsia="仿宋"/>
          <w:b/>
          <w:bCs/>
          <w:color w:val="000000"/>
          <w:kern w:val="0"/>
          <w:sz w:val="32"/>
          <w:szCs w:val="32"/>
        </w:rPr>
        <w:t>附件</w:t>
      </w:r>
      <w:r>
        <w:rPr>
          <w:rFonts w:hint="eastAsia" w:ascii="仿宋" w:hAnsi="仿宋" w:eastAsia="仿宋"/>
          <w:b/>
          <w:bCs/>
          <w:color w:val="000000"/>
          <w:kern w:val="0"/>
          <w:sz w:val="32"/>
          <w:szCs w:val="32"/>
          <w:lang w:eastAsia="zh-CN"/>
        </w:rPr>
        <w:t>：</w:t>
      </w:r>
    </w:p>
    <w:p>
      <w:pPr>
        <w:widowControl/>
        <w:ind w:firstLine="2240" w:firstLineChars="700"/>
        <w:rPr>
          <w:rFonts w:hint="eastAsia" w:ascii="黑体" w:hAnsi="黑体" w:eastAsia="黑体"/>
          <w:b/>
          <w:bCs/>
          <w:color w:val="000000"/>
          <w:kern w:val="0"/>
          <w:sz w:val="32"/>
          <w:szCs w:val="32"/>
        </w:rPr>
      </w:pPr>
      <w:r>
        <w:rPr>
          <w:rFonts w:hint="eastAsia" w:ascii="黑体" w:hAnsi="黑体" w:eastAsia="黑体"/>
          <w:b/>
          <w:bCs/>
          <w:color w:val="000000"/>
          <w:kern w:val="0"/>
          <w:sz w:val="32"/>
          <w:szCs w:val="32"/>
        </w:rPr>
        <w:t>2019-2020学学年度第一学期第二周各学院班级到课率抽查排名</w:t>
      </w:r>
    </w:p>
    <w:p>
      <w:pPr>
        <w:widowControl/>
        <w:ind w:firstLine="2240" w:firstLineChars="700"/>
        <w:rPr>
          <w:rFonts w:hint="eastAsia" w:ascii="黑体" w:hAnsi="黑体" w:eastAsia="黑体"/>
          <w:b/>
          <w:bCs/>
          <w:color w:val="000000"/>
          <w:kern w:val="0"/>
          <w:sz w:val="32"/>
          <w:szCs w:val="32"/>
          <w:lang w:eastAsia="zh-CN"/>
        </w:rPr>
      </w:pPr>
    </w:p>
    <w:tbl>
      <w:tblPr>
        <w:tblStyle w:val="4"/>
        <w:tblW w:w="11888" w:type="dxa"/>
        <w:jc w:val="center"/>
        <w:tblInd w:w="-1258" w:type="dxa"/>
        <w:tblLayout w:type="fixed"/>
        <w:tblCellMar>
          <w:top w:w="0" w:type="dxa"/>
          <w:left w:w="108" w:type="dxa"/>
          <w:bottom w:w="0" w:type="dxa"/>
          <w:right w:w="108" w:type="dxa"/>
        </w:tblCellMar>
      </w:tblPr>
      <w:tblGrid>
        <w:gridCol w:w="1028"/>
        <w:gridCol w:w="1200"/>
        <w:gridCol w:w="2112"/>
        <w:gridCol w:w="2169"/>
        <w:gridCol w:w="2562"/>
        <w:gridCol w:w="1984"/>
        <w:gridCol w:w="833"/>
      </w:tblGrid>
      <w:tr>
        <w:tblPrEx>
          <w:tblLayout w:type="fixed"/>
          <w:tblCellMar>
            <w:top w:w="0" w:type="dxa"/>
            <w:left w:w="108" w:type="dxa"/>
            <w:bottom w:w="0" w:type="dxa"/>
            <w:right w:w="108" w:type="dxa"/>
          </w:tblCellMar>
        </w:tblPrEx>
        <w:trPr>
          <w:trHeight w:val="714" w:hRule="atLeast"/>
          <w:jc w:val="center"/>
        </w:trPr>
        <w:tc>
          <w:tcPr>
            <w:tcW w:w="10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黑体" w:hAnsi="黑体" w:eastAsia="黑体"/>
                <w:b/>
                <w:bCs/>
                <w:color w:val="000000"/>
                <w:kern w:val="0"/>
                <w:sz w:val="24"/>
              </w:rPr>
            </w:pPr>
            <w:r>
              <w:rPr>
                <w:rFonts w:hint="eastAsia" w:ascii="黑体" w:hAnsi="黑体" w:eastAsia="黑体"/>
                <w:b/>
                <w:bCs/>
                <w:color w:val="000000"/>
                <w:kern w:val="0"/>
                <w:sz w:val="24"/>
              </w:rPr>
              <w:t>序号</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黑体" w:hAnsi="黑体" w:eastAsia="黑体"/>
                <w:b/>
                <w:bCs/>
                <w:color w:val="000000"/>
                <w:kern w:val="0"/>
                <w:sz w:val="24"/>
              </w:rPr>
            </w:pPr>
            <w:r>
              <w:rPr>
                <w:rFonts w:hint="eastAsia" w:ascii="黑体" w:hAnsi="黑体" w:eastAsia="黑体"/>
                <w:b/>
                <w:bCs/>
                <w:color w:val="000000"/>
                <w:kern w:val="0"/>
                <w:sz w:val="24"/>
              </w:rPr>
              <w:t>学院</w:t>
            </w:r>
          </w:p>
        </w:tc>
        <w:tc>
          <w:tcPr>
            <w:tcW w:w="211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黑体" w:hAnsi="黑体" w:eastAsia="黑体"/>
                <w:b/>
                <w:bCs/>
                <w:color w:val="000000"/>
                <w:kern w:val="0"/>
                <w:sz w:val="24"/>
              </w:rPr>
            </w:pPr>
            <w:r>
              <w:rPr>
                <w:rFonts w:hint="eastAsia" w:ascii="黑体" w:hAnsi="黑体" w:eastAsia="黑体"/>
                <w:b/>
                <w:bCs/>
                <w:color w:val="000000"/>
                <w:kern w:val="0"/>
                <w:sz w:val="24"/>
              </w:rPr>
              <w:t>抽查班级数</w:t>
            </w:r>
          </w:p>
        </w:tc>
        <w:tc>
          <w:tcPr>
            <w:tcW w:w="216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黑体" w:hAnsi="黑体" w:eastAsia="黑体"/>
                <w:b/>
                <w:bCs/>
                <w:color w:val="000000"/>
                <w:kern w:val="0"/>
                <w:sz w:val="24"/>
              </w:rPr>
            </w:pPr>
            <w:r>
              <w:rPr>
                <w:rFonts w:hint="eastAsia" w:ascii="黑体" w:hAnsi="黑体" w:eastAsia="黑体"/>
                <w:b/>
                <w:bCs/>
                <w:color w:val="000000"/>
                <w:kern w:val="0"/>
                <w:sz w:val="24"/>
              </w:rPr>
              <w:t>平均到课率</w:t>
            </w:r>
          </w:p>
        </w:tc>
        <w:tc>
          <w:tcPr>
            <w:tcW w:w="256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黑体" w:hAnsi="黑体" w:eastAsia="黑体"/>
                <w:b/>
                <w:bCs/>
                <w:color w:val="000000"/>
                <w:kern w:val="0"/>
                <w:sz w:val="24"/>
              </w:rPr>
            </w:pPr>
            <w:r>
              <w:rPr>
                <w:rFonts w:hint="eastAsia" w:ascii="黑体" w:hAnsi="黑体" w:eastAsia="黑体"/>
                <w:b/>
                <w:bCs/>
                <w:color w:val="000000"/>
                <w:kern w:val="0"/>
                <w:sz w:val="24"/>
              </w:rPr>
              <w:t>到课率100%班级数</w:t>
            </w:r>
          </w:p>
        </w:tc>
        <w:tc>
          <w:tcPr>
            <w:tcW w:w="1984"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黑体" w:hAnsi="黑体" w:eastAsia="黑体"/>
                <w:b/>
                <w:bCs/>
                <w:color w:val="000000"/>
                <w:kern w:val="0"/>
                <w:sz w:val="24"/>
              </w:rPr>
            </w:pPr>
            <w:r>
              <w:rPr>
                <w:rFonts w:hint="eastAsia" w:ascii="黑体" w:hAnsi="黑体" w:eastAsia="黑体"/>
                <w:b/>
                <w:bCs/>
                <w:color w:val="000000"/>
                <w:kern w:val="0"/>
                <w:sz w:val="24"/>
              </w:rPr>
              <w:t>低于60%班级数</w:t>
            </w:r>
          </w:p>
        </w:tc>
        <w:tc>
          <w:tcPr>
            <w:tcW w:w="83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黑体" w:hAnsi="黑体" w:eastAsia="黑体"/>
                <w:b/>
                <w:bCs/>
                <w:color w:val="000000"/>
                <w:kern w:val="0"/>
                <w:sz w:val="24"/>
              </w:rPr>
            </w:pPr>
            <w:r>
              <w:rPr>
                <w:rFonts w:hint="eastAsia" w:ascii="黑体" w:hAnsi="黑体" w:eastAsia="黑体"/>
                <w:b/>
                <w:bCs/>
                <w:color w:val="000000"/>
                <w:kern w:val="0"/>
                <w:sz w:val="24"/>
              </w:rPr>
              <w:t>备注</w:t>
            </w:r>
          </w:p>
        </w:tc>
      </w:tr>
      <w:tr>
        <w:tblPrEx>
          <w:tblLayout w:type="fixed"/>
          <w:tblCellMar>
            <w:top w:w="0" w:type="dxa"/>
            <w:left w:w="108" w:type="dxa"/>
            <w:bottom w:w="0" w:type="dxa"/>
            <w:right w:w="108" w:type="dxa"/>
          </w:tblCellMar>
        </w:tblPrEx>
        <w:trPr>
          <w:trHeight w:val="290" w:hRule="atLeast"/>
          <w:jc w:val="center"/>
        </w:trPr>
        <w:tc>
          <w:tcPr>
            <w:tcW w:w="102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1</w:t>
            </w:r>
          </w:p>
        </w:tc>
        <w:tc>
          <w:tcPr>
            <w:tcW w:w="1200"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工程</w:t>
            </w:r>
          </w:p>
        </w:tc>
        <w:tc>
          <w:tcPr>
            <w:tcW w:w="2112"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13</w:t>
            </w:r>
          </w:p>
        </w:tc>
        <w:tc>
          <w:tcPr>
            <w:tcW w:w="2169"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99.22%</w:t>
            </w:r>
          </w:p>
        </w:tc>
        <w:tc>
          <w:tcPr>
            <w:tcW w:w="2562"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12</w:t>
            </w:r>
          </w:p>
        </w:tc>
        <w:tc>
          <w:tcPr>
            <w:tcW w:w="1984"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0</w:t>
            </w:r>
          </w:p>
        </w:tc>
        <w:tc>
          <w:tcPr>
            <w:tcW w:w="833"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　</w:t>
            </w:r>
          </w:p>
        </w:tc>
      </w:tr>
      <w:tr>
        <w:tblPrEx>
          <w:tblLayout w:type="fixed"/>
          <w:tblCellMar>
            <w:top w:w="0" w:type="dxa"/>
            <w:left w:w="108" w:type="dxa"/>
            <w:bottom w:w="0" w:type="dxa"/>
            <w:right w:w="108" w:type="dxa"/>
          </w:tblCellMar>
        </w:tblPrEx>
        <w:trPr>
          <w:trHeight w:val="214" w:hRule="atLeast"/>
          <w:jc w:val="center"/>
        </w:trPr>
        <w:tc>
          <w:tcPr>
            <w:tcW w:w="102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2</w:t>
            </w:r>
          </w:p>
        </w:tc>
        <w:tc>
          <w:tcPr>
            <w:tcW w:w="1200"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旅管</w:t>
            </w:r>
          </w:p>
        </w:tc>
        <w:tc>
          <w:tcPr>
            <w:tcW w:w="2112"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12</w:t>
            </w:r>
          </w:p>
        </w:tc>
        <w:tc>
          <w:tcPr>
            <w:tcW w:w="2169"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98.71%</w:t>
            </w:r>
          </w:p>
        </w:tc>
        <w:tc>
          <w:tcPr>
            <w:tcW w:w="2562"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10</w:t>
            </w:r>
          </w:p>
        </w:tc>
        <w:tc>
          <w:tcPr>
            <w:tcW w:w="1984"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0</w:t>
            </w:r>
          </w:p>
        </w:tc>
        <w:tc>
          <w:tcPr>
            <w:tcW w:w="833"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　</w:t>
            </w:r>
          </w:p>
        </w:tc>
      </w:tr>
      <w:tr>
        <w:tblPrEx>
          <w:tblLayout w:type="fixed"/>
          <w:tblCellMar>
            <w:top w:w="0" w:type="dxa"/>
            <w:left w:w="108" w:type="dxa"/>
            <w:bottom w:w="0" w:type="dxa"/>
            <w:right w:w="108" w:type="dxa"/>
          </w:tblCellMar>
        </w:tblPrEx>
        <w:trPr>
          <w:trHeight w:val="421" w:hRule="atLeast"/>
          <w:jc w:val="center"/>
        </w:trPr>
        <w:tc>
          <w:tcPr>
            <w:tcW w:w="102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3</w:t>
            </w:r>
          </w:p>
        </w:tc>
        <w:tc>
          <w:tcPr>
            <w:tcW w:w="1200"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财管</w:t>
            </w:r>
          </w:p>
        </w:tc>
        <w:tc>
          <w:tcPr>
            <w:tcW w:w="2112"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50</w:t>
            </w:r>
          </w:p>
        </w:tc>
        <w:tc>
          <w:tcPr>
            <w:tcW w:w="2169"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97.38%</w:t>
            </w:r>
          </w:p>
        </w:tc>
        <w:tc>
          <w:tcPr>
            <w:tcW w:w="2562"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33</w:t>
            </w:r>
          </w:p>
        </w:tc>
        <w:tc>
          <w:tcPr>
            <w:tcW w:w="1984"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0</w:t>
            </w:r>
          </w:p>
        </w:tc>
        <w:tc>
          <w:tcPr>
            <w:tcW w:w="833"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　</w:t>
            </w:r>
          </w:p>
        </w:tc>
      </w:tr>
      <w:tr>
        <w:tblPrEx>
          <w:tblLayout w:type="fixed"/>
          <w:tblCellMar>
            <w:top w:w="0" w:type="dxa"/>
            <w:left w:w="108" w:type="dxa"/>
            <w:bottom w:w="0" w:type="dxa"/>
            <w:right w:w="108" w:type="dxa"/>
          </w:tblCellMar>
        </w:tblPrEx>
        <w:trPr>
          <w:trHeight w:val="190" w:hRule="atLeast"/>
          <w:jc w:val="center"/>
        </w:trPr>
        <w:tc>
          <w:tcPr>
            <w:tcW w:w="102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4</w:t>
            </w:r>
          </w:p>
        </w:tc>
        <w:tc>
          <w:tcPr>
            <w:tcW w:w="1200"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国际</w:t>
            </w:r>
          </w:p>
        </w:tc>
        <w:tc>
          <w:tcPr>
            <w:tcW w:w="2112"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9</w:t>
            </w:r>
          </w:p>
        </w:tc>
        <w:tc>
          <w:tcPr>
            <w:tcW w:w="2169"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96.65%</w:t>
            </w:r>
          </w:p>
        </w:tc>
        <w:tc>
          <w:tcPr>
            <w:tcW w:w="2562"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5</w:t>
            </w:r>
          </w:p>
        </w:tc>
        <w:tc>
          <w:tcPr>
            <w:tcW w:w="1984"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0</w:t>
            </w:r>
          </w:p>
        </w:tc>
        <w:tc>
          <w:tcPr>
            <w:tcW w:w="833"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　</w:t>
            </w:r>
          </w:p>
        </w:tc>
      </w:tr>
      <w:tr>
        <w:tblPrEx>
          <w:tblLayout w:type="fixed"/>
          <w:tblCellMar>
            <w:top w:w="0" w:type="dxa"/>
            <w:left w:w="108" w:type="dxa"/>
            <w:bottom w:w="0" w:type="dxa"/>
            <w:right w:w="108" w:type="dxa"/>
          </w:tblCellMar>
        </w:tblPrEx>
        <w:trPr>
          <w:trHeight w:val="114" w:hRule="atLeast"/>
          <w:jc w:val="center"/>
        </w:trPr>
        <w:tc>
          <w:tcPr>
            <w:tcW w:w="102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5</w:t>
            </w:r>
          </w:p>
        </w:tc>
        <w:tc>
          <w:tcPr>
            <w:tcW w:w="1200"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工管</w:t>
            </w:r>
          </w:p>
        </w:tc>
        <w:tc>
          <w:tcPr>
            <w:tcW w:w="2112"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33</w:t>
            </w:r>
          </w:p>
        </w:tc>
        <w:tc>
          <w:tcPr>
            <w:tcW w:w="2169" w:type="dxa"/>
            <w:tcBorders>
              <w:top w:val="nil"/>
              <w:left w:val="nil"/>
              <w:bottom w:val="single" w:color="000000" w:sz="8" w:space="0"/>
              <w:right w:val="nil"/>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95.98%</w:t>
            </w:r>
          </w:p>
        </w:tc>
        <w:tc>
          <w:tcPr>
            <w:tcW w:w="256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8</w:t>
            </w:r>
          </w:p>
        </w:tc>
        <w:tc>
          <w:tcPr>
            <w:tcW w:w="1984"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0</w:t>
            </w:r>
          </w:p>
        </w:tc>
        <w:tc>
          <w:tcPr>
            <w:tcW w:w="833"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　</w:t>
            </w:r>
          </w:p>
        </w:tc>
      </w:tr>
      <w:tr>
        <w:tblPrEx>
          <w:tblLayout w:type="fixed"/>
          <w:tblCellMar>
            <w:top w:w="0" w:type="dxa"/>
            <w:left w:w="108" w:type="dxa"/>
            <w:bottom w:w="0" w:type="dxa"/>
            <w:right w:w="108" w:type="dxa"/>
          </w:tblCellMar>
        </w:tblPrEx>
        <w:trPr>
          <w:trHeight w:val="321" w:hRule="atLeast"/>
          <w:jc w:val="center"/>
        </w:trPr>
        <w:tc>
          <w:tcPr>
            <w:tcW w:w="102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6</w:t>
            </w:r>
          </w:p>
        </w:tc>
        <w:tc>
          <w:tcPr>
            <w:tcW w:w="1200"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人文</w:t>
            </w:r>
          </w:p>
        </w:tc>
        <w:tc>
          <w:tcPr>
            <w:tcW w:w="2112"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11</w:t>
            </w:r>
          </w:p>
        </w:tc>
        <w:tc>
          <w:tcPr>
            <w:tcW w:w="2169" w:type="dxa"/>
            <w:tcBorders>
              <w:top w:val="nil"/>
              <w:left w:val="nil"/>
              <w:bottom w:val="single" w:color="000000" w:sz="8" w:space="0"/>
              <w:right w:val="nil"/>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93.33%</w:t>
            </w:r>
          </w:p>
        </w:tc>
        <w:tc>
          <w:tcPr>
            <w:tcW w:w="256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3</w:t>
            </w:r>
          </w:p>
        </w:tc>
        <w:tc>
          <w:tcPr>
            <w:tcW w:w="1984"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0</w:t>
            </w:r>
          </w:p>
        </w:tc>
        <w:tc>
          <w:tcPr>
            <w:tcW w:w="833" w:type="dxa"/>
            <w:tcBorders>
              <w:top w:val="nil"/>
              <w:left w:val="nil"/>
              <w:bottom w:val="single" w:color="000000" w:sz="8" w:space="0"/>
              <w:right w:val="single" w:color="000000" w:sz="8" w:space="0"/>
            </w:tcBorders>
            <w:shd w:val="clear" w:color="auto" w:fill="auto"/>
            <w:vAlign w:val="center"/>
          </w:tcPr>
          <w:p>
            <w:pPr>
              <w:widowControl/>
              <w:jc w:val="center"/>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　</w:t>
            </w:r>
          </w:p>
        </w:tc>
      </w:tr>
    </w:tbl>
    <w:p>
      <w:pPr>
        <w:widowControl/>
        <w:ind w:firstLine="840" w:firstLineChars="400"/>
        <w:rPr>
          <w:rFonts w:hint="eastAsia" w:ascii="黑体" w:hAnsi="黑体" w:eastAsia="黑体"/>
          <w:color w:val="000000"/>
          <w:lang w:val="en-US" w:eastAsia="zh-CN"/>
        </w:rPr>
      </w:pPr>
    </w:p>
    <w:p>
      <w:pPr>
        <w:widowControl/>
        <w:ind w:firstLine="840" w:firstLineChars="400"/>
        <w:rPr>
          <w:rFonts w:hint="eastAsia" w:ascii="黑体" w:hAnsi="黑体" w:eastAsia="黑体"/>
          <w:color w:val="000000"/>
        </w:rPr>
      </w:pPr>
      <w:r>
        <w:rPr>
          <w:rFonts w:hint="eastAsia" w:ascii="黑体" w:hAnsi="黑体" w:eastAsia="黑体"/>
          <w:color w:val="000000"/>
          <w:lang w:val="en-US" w:eastAsia="zh-CN"/>
        </w:rPr>
        <w:t xml:space="preserve">备注  </w:t>
      </w:r>
      <w:r>
        <w:rPr>
          <w:rFonts w:hint="eastAsia" w:ascii="黑体" w:hAnsi="黑体" w:eastAsia="黑体"/>
          <w:color w:val="000000"/>
        </w:rPr>
        <w:t>1.本次开学第二周抽查上课班级有128个，实际抽查班级个数为128个，抽查覆盖率为100%。</w:t>
      </w:r>
    </w:p>
    <w:p>
      <w:pPr>
        <w:widowControl/>
        <w:ind w:firstLine="1470" w:firstLineChars="700"/>
        <w:rPr>
          <w:rFonts w:hint="eastAsia" w:ascii="黑体" w:hAnsi="黑体" w:eastAsia="黑体"/>
          <w:color w:val="000000"/>
        </w:rPr>
      </w:pPr>
      <w:r>
        <w:rPr>
          <w:rFonts w:hint="eastAsia" w:ascii="黑体" w:hAnsi="黑体" w:eastAsia="黑体"/>
          <w:color w:val="000000"/>
        </w:rPr>
        <w:t>2.本次抽查人数以督导人员现场抽查人数为准。</w:t>
      </w:r>
    </w:p>
    <w:p>
      <w:pPr>
        <w:widowControl/>
        <w:ind w:firstLine="1470" w:firstLineChars="700"/>
        <w:rPr>
          <w:rFonts w:hint="eastAsia" w:ascii="黑体" w:hAnsi="黑体" w:eastAsia="黑体"/>
          <w:color w:val="000000"/>
        </w:rPr>
      </w:pPr>
      <w:r>
        <w:rPr>
          <w:rFonts w:hint="eastAsia" w:ascii="黑体" w:hAnsi="黑体" w:eastAsia="黑体"/>
          <w:color w:val="000000"/>
        </w:rPr>
        <w:t>3.老师人数由教务处提供。</w:t>
      </w:r>
    </w:p>
    <w:p>
      <w:pPr>
        <w:widowControl/>
        <w:ind w:firstLine="1470" w:firstLineChars="700"/>
        <w:rPr>
          <w:rFonts w:ascii="黑体" w:hAnsi="黑体" w:eastAsia="黑体"/>
          <w:color w:val="000000"/>
        </w:rPr>
      </w:pPr>
      <w:r>
        <w:rPr>
          <w:rFonts w:hint="eastAsia" w:ascii="黑体" w:hAnsi="黑体" w:eastAsia="黑体"/>
          <w:color w:val="000000"/>
        </w:rPr>
        <w:t>4.本数据是经各二级学院核实无误后上报教务处定稿。</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方正报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C4"/>
    <w:rsid w:val="00042861"/>
    <w:rsid w:val="00063FB4"/>
    <w:rsid w:val="000A5E45"/>
    <w:rsid w:val="00122784"/>
    <w:rsid w:val="00141D80"/>
    <w:rsid w:val="00144A0C"/>
    <w:rsid w:val="00167209"/>
    <w:rsid w:val="001C6268"/>
    <w:rsid w:val="001F60C5"/>
    <w:rsid w:val="00511C35"/>
    <w:rsid w:val="00751E40"/>
    <w:rsid w:val="00785DDC"/>
    <w:rsid w:val="007D10CD"/>
    <w:rsid w:val="0089128D"/>
    <w:rsid w:val="00915F49"/>
    <w:rsid w:val="00A826F0"/>
    <w:rsid w:val="00AA03AD"/>
    <w:rsid w:val="00AC582B"/>
    <w:rsid w:val="00BD5338"/>
    <w:rsid w:val="00BD5BC4"/>
    <w:rsid w:val="00BD6C1E"/>
    <w:rsid w:val="00C10339"/>
    <w:rsid w:val="00C4674F"/>
    <w:rsid w:val="00CA0211"/>
    <w:rsid w:val="00CC04FC"/>
    <w:rsid w:val="00E27072"/>
    <w:rsid w:val="00E723D9"/>
    <w:rsid w:val="00EB1816"/>
    <w:rsid w:val="00EB2CC3"/>
    <w:rsid w:val="00FB7435"/>
    <w:rsid w:val="00FD5892"/>
    <w:rsid w:val="4CD161F8"/>
    <w:rsid w:val="6AD336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7">
    <w:name w:val="FollowedHyperlink"/>
    <w:basedOn w:val="6"/>
    <w:semiHidden/>
    <w:unhideWhenUsed/>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uiPriority w:val="0"/>
    <w:rPr>
      <w:kern w:val="2"/>
      <w:sz w:val="18"/>
      <w:szCs w:val="18"/>
    </w:rPr>
  </w:style>
  <w:style w:type="character" w:customStyle="1" w:styleId="10">
    <w:name w:val="页脚 Char"/>
    <w:basedOn w:val="6"/>
    <w:link w:val="2"/>
    <w:uiPriority w:val="0"/>
    <w:rPr>
      <w:kern w:val="2"/>
      <w:sz w:val="18"/>
      <w:szCs w:val="18"/>
    </w:rPr>
  </w:style>
  <w:style w:type="paragraph" w:customStyle="1" w:styleId="11">
    <w:name w:val="font5"/>
    <w:basedOn w:val="1"/>
    <w:qFormat/>
    <w:uiPriority w:val="0"/>
    <w:pPr>
      <w:widowControl/>
      <w:spacing w:before="100" w:beforeAutospacing="1" w:after="100" w:afterAutospacing="1"/>
      <w:jc w:val="left"/>
    </w:pPr>
    <w:rPr>
      <w:rFonts w:ascii="宋体" w:hAnsi="宋体"/>
      <w:color w:val="000000"/>
      <w:kern w:val="0"/>
      <w:sz w:val="22"/>
      <w:szCs w:val="22"/>
    </w:rPr>
  </w:style>
  <w:style w:type="paragraph" w:customStyle="1" w:styleId="12">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3">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7">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
    <w:name w:val="xl71"/>
    <w:basedOn w:val="1"/>
    <w:uiPriority w:val="0"/>
    <w:pPr>
      <w:widowControl/>
      <w:spacing w:before="100" w:beforeAutospacing="1" w:after="100" w:afterAutospacing="1"/>
      <w:jc w:val="center"/>
    </w:pPr>
    <w:rPr>
      <w:rFonts w:ascii="宋体" w:hAnsi="宋体"/>
      <w:kern w:val="0"/>
      <w:sz w:val="24"/>
    </w:rPr>
  </w:style>
  <w:style w:type="paragraph" w:customStyle="1" w:styleId="21">
    <w:name w:val="xl72"/>
    <w:basedOn w:val="1"/>
    <w:qFormat/>
    <w:uiPriority w:val="0"/>
    <w:pPr>
      <w:widowControl/>
      <w:spacing w:before="100" w:beforeAutospacing="1" w:after="100" w:afterAutospacing="1"/>
      <w:jc w:val="center"/>
    </w:pPr>
    <w:rPr>
      <w:rFonts w:ascii="宋体" w:hAnsi="宋体"/>
      <w:kern w:val="0"/>
      <w:sz w:val="36"/>
      <w:szCs w:val="36"/>
    </w:rPr>
  </w:style>
  <w:style w:type="paragraph" w:customStyle="1" w:styleId="22">
    <w:name w:val="xl73"/>
    <w:basedOn w:val="1"/>
    <w:uiPriority w:val="0"/>
    <w:pPr>
      <w:widowControl/>
      <w:pBdr>
        <w:bottom w:val="single" w:color="auto" w:sz="4" w:space="0"/>
      </w:pBdr>
      <w:spacing w:before="100" w:beforeAutospacing="1" w:after="100" w:afterAutospacing="1"/>
      <w:jc w:val="center"/>
    </w:pPr>
    <w:rPr>
      <w:rFonts w:ascii="宋体" w:hAnsi="宋体"/>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1522</Words>
  <Characters>8680</Characters>
  <Lines>72</Lines>
  <Paragraphs>20</Paragraphs>
  <TotalTime>1</TotalTime>
  <ScaleCrop>false</ScaleCrop>
  <LinksUpToDate>false</LinksUpToDate>
  <CharactersWithSpaces>10182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2019-09-23T00:57:00Z</dcterms:created>
  <dc:creator>maqing</dc:creator>
  <cp:lastModifiedBy>lenovo</cp:lastModifiedBy>
  <dcterms:modified xsi:type="dcterms:W3CDTF">2020-04-15T08:24:26Z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